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412DE" w14:textId="60D525D6"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326871">
        <w:rPr>
          <w:rFonts w:cs="Arial"/>
          <w:bCs/>
          <w:sz w:val="24"/>
          <w:szCs w:val="24"/>
        </w:rPr>
        <w:t>8</w:t>
      </w:r>
      <w:r w:rsidR="00811A04">
        <w:rPr>
          <w:rFonts w:cs="Arial"/>
          <w:bCs/>
          <w:sz w:val="24"/>
          <w:szCs w:val="24"/>
        </w:rPr>
        <w:t>bis</w:t>
      </w:r>
      <w:r w:rsidRPr="00A6312F">
        <w:rPr>
          <w:rFonts w:cs="Arial"/>
          <w:bCs/>
          <w:sz w:val="24"/>
          <w:szCs w:val="24"/>
        </w:rPr>
        <w:t>-e</w:t>
      </w:r>
      <w:r w:rsidRPr="00A6312F">
        <w:rPr>
          <w:rFonts w:cs="Arial"/>
          <w:bCs/>
          <w:sz w:val="24"/>
          <w:szCs w:val="24"/>
        </w:rPr>
        <w:tab/>
      </w:r>
      <w:r w:rsidR="000E083B" w:rsidRPr="000E083B">
        <w:rPr>
          <w:rFonts w:cs="Arial"/>
          <w:bCs/>
          <w:sz w:val="24"/>
          <w:szCs w:val="24"/>
        </w:rPr>
        <w:t>R4-2107126</w:t>
      </w:r>
    </w:p>
    <w:p w14:paraId="73749A53" w14:textId="205B9131"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811A04">
        <w:rPr>
          <w:rFonts w:cs="Arial"/>
          <w:sz w:val="24"/>
        </w:rPr>
        <w:t>12</w:t>
      </w:r>
      <w:r w:rsidR="00AB7062" w:rsidRPr="001B28D7">
        <w:rPr>
          <w:rFonts w:cs="Arial"/>
          <w:sz w:val="24"/>
        </w:rPr>
        <w:t xml:space="preserve"> </w:t>
      </w:r>
      <w:r w:rsidR="005F4867">
        <w:rPr>
          <w:rFonts w:cs="Arial"/>
          <w:sz w:val="24"/>
        </w:rPr>
        <w:t>– 20</w:t>
      </w:r>
      <w:r w:rsidR="00AB7062" w:rsidRPr="001B28D7">
        <w:rPr>
          <w:rFonts w:cs="Arial"/>
          <w:sz w:val="24"/>
        </w:rPr>
        <w:t xml:space="preserve"> </w:t>
      </w:r>
      <w:r w:rsidR="00811A04">
        <w:rPr>
          <w:rFonts w:cs="Arial"/>
          <w:sz w:val="24"/>
        </w:rPr>
        <w:t xml:space="preserve">April </w:t>
      </w:r>
      <w:r w:rsidR="00AB7062">
        <w:rPr>
          <w:rFonts w:cs="Arial"/>
          <w:sz w:val="24"/>
        </w:rPr>
        <w:t>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3EB8694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9C55F4">
        <w:rPr>
          <w:rFonts w:ascii="Arial" w:hAnsi="Arial" w:cs="Arial"/>
          <w:sz w:val="24"/>
          <w:szCs w:val="24"/>
        </w:rPr>
        <w:t>8.1.1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61ED11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3425B0">
        <w:rPr>
          <w:rFonts w:ascii="Arial" w:hAnsi="Arial" w:cs="Arial"/>
          <w:sz w:val="24"/>
          <w:szCs w:val="24"/>
        </w:rPr>
        <w:t>On Blocking MU for FR2 MIMO OTA</w:t>
      </w:r>
      <w:r w:rsidR="00861C5F">
        <w:rPr>
          <w:rFonts w:ascii="Arial" w:hAnsi="Arial" w:cs="Arial"/>
          <w:b/>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3B7A497D" w:rsidR="00241706" w:rsidRPr="00241706" w:rsidRDefault="003425B0" w:rsidP="00241706">
      <w:pPr>
        <w:ind w:left="48"/>
        <w:rPr>
          <w:rFonts w:eastAsia="Batang"/>
        </w:rPr>
      </w:pPr>
      <w:r>
        <w:rPr>
          <w:rFonts w:eastAsia="Batang"/>
        </w:rPr>
        <w:t xml:space="preserve">This contribution addresses the need </w:t>
      </w:r>
      <w:r w:rsidR="006C565C">
        <w:rPr>
          <w:rFonts w:eastAsia="Batang"/>
        </w:rPr>
        <w:t xml:space="preserve">to revisit the QoQZ procedure </w:t>
      </w:r>
      <w:r w:rsidR="004D670E">
        <w:rPr>
          <w:rFonts w:eastAsia="Batang"/>
        </w:rPr>
        <w:t xml:space="preserve">and MU elements due to blocking </w:t>
      </w:r>
      <w:r w:rsidR="006C565C">
        <w:rPr>
          <w:rFonts w:eastAsia="Batang"/>
        </w:rPr>
        <w:t xml:space="preserve">which was discussed in RAN4#98-e. </w:t>
      </w:r>
    </w:p>
    <w:p w14:paraId="3595238E" w14:textId="77777777" w:rsidR="0053435C" w:rsidRDefault="00AF0F4C" w:rsidP="0053435C">
      <w:pPr>
        <w:pStyle w:val="Heading1"/>
        <w:ind w:left="567" w:hanging="567"/>
      </w:pPr>
      <w:r>
        <w:t>Discussion</w:t>
      </w:r>
    </w:p>
    <w:p w14:paraId="1933C84D" w14:textId="488A6F94" w:rsidR="004D670E" w:rsidRDefault="004D670E" w:rsidP="00E03F11">
      <w:r>
        <w:t xml:space="preserve">In RAN4#98-e, the WF captured the need to further study the FR2 blocking issues of the probes, specifically </w:t>
      </w:r>
      <w:r w:rsidR="00062E1E">
        <w:t xml:space="preserve">from </w:t>
      </w:r>
      <w:r w:rsidR="00EC71D4">
        <w:t>P</w:t>
      </w:r>
      <w:r>
        <w:t>robe #3</w:t>
      </w:r>
      <w:r w:rsidR="00062E1E">
        <w:t xml:space="preserve"> </w:t>
      </w:r>
      <w:r w:rsidR="00062E1E">
        <w:fldChar w:fldCharType="begin"/>
      </w:r>
      <w:r w:rsidR="00062E1E">
        <w:instrText xml:space="preserve"> REF _Ref67930261 \w \h </w:instrText>
      </w:r>
      <w:r w:rsidR="00062E1E">
        <w:fldChar w:fldCharType="separate"/>
      </w:r>
      <w:r w:rsidR="00062E1E">
        <w:t>[1]</w:t>
      </w:r>
      <w:r w:rsidR="00062E1E">
        <w:fldChar w:fldCharType="end"/>
      </w:r>
    </w:p>
    <w:tbl>
      <w:tblPr>
        <w:tblStyle w:val="TableGrid"/>
        <w:tblW w:w="0" w:type="auto"/>
        <w:tblLook w:val="04A0" w:firstRow="1" w:lastRow="0" w:firstColumn="1" w:lastColumn="0" w:noHBand="0" w:noVBand="1"/>
      </w:tblPr>
      <w:tblGrid>
        <w:gridCol w:w="9631"/>
      </w:tblGrid>
      <w:tr w:rsidR="004D670E" w14:paraId="1F688A79" w14:textId="77777777" w:rsidTr="004D670E">
        <w:tc>
          <w:tcPr>
            <w:tcW w:w="9631" w:type="dxa"/>
          </w:tcPr>
          <w:p w14:paraId="65F89B4A" w14:textId="77777777" w:rsidR="004D670E" w:rsidRPr="004D670E" w:rsidRDefault="004D670E" w:rsidP="004D670E">
            <w:pPr>
              <w:numPr>
                <w:ilvl w:val="0"/>
                <w:numId w:val="43"/>
              </w:numPr>
              <w:rPr>
                <w:lang w:val="en-US"/>
              </w:rPr>
            </w:pPr>
            <w:r w:rsidRPr="004D670E">
              <w:rPr>
                <w:b/>
                <w:bCs/>
              </w:rPr>
              <w:t>System implementation of FR2 3D-MPAC system</w:t>
            </w:r>
          </w:p>
          <w:p w14:paraId="0D6A5AA0" w14:textId="77777777" w:rsidR="004D670E" w:rsidRPr="004D670E" w:rsidRDefault="004D670E" w:rsidP="004D670E">
            <w:pPr>
              <w:numPr>
                <w:ilvl w:val="1"/>
                <w:numId w:val="43"/>
              </w:numPr>
              <w:rPr>
                <w:lang w:val="en-US"/>
              </w:rPr>
            </w:pPr>
            <w:r w:rsidRPr="004D670E">
              <w:rPr>
                <w:lang w:val="en-US"/>
              </w:rPr>
              <w:t>Keep the probe locations the same among system implementations at this time, but enhanced implementation or solution can be considered by RAN4 in future</w:t>
            </w:r>
          </w:p>
          <w:p w14:paraId="3400D7EE" w14:textId="4B9A8167" w:rsidR="004D670E" w:rsidRPr="004D670E" w:rsidRDefault="004D670E" w:rsidP="00E03F11">
            <w:pPr>
              <w:numPr>
                <w:ilvl w:val="1"/>
                <w:numId w:val="43"/>
              </w:numPr>
              <w:rPr>
                <w:lang w:val="en-US"/>
              </w:rPr>
            </w:pPr>
            <w:r w:rsidRPr="004D670E">
              <w:rPr>
                <w:highlight w:val="yellow"/>
                <w:lang w:val="en-US"/>
              </w:rPr>
              <w:t>Further study how to address the FR2 blocking issue</w:t>
            </w:r>
          </w:p>
        </w:tc>
      </w:tr>
    </w:tbl>
    <w:p w14:paraId="3595238F" w14:textId="1F57104A" w:rsidR="00E03F11" w:rsidRDefault="006C565C" w:rsidP="00E03F11">
      <w:r>
        <w:t>The agreed probe configuration</w:t>
      </w:r>
      <w:r w:rsidR="00233E0A">
        <w:t xml:space="preserve"> in </w:t>
      </w:r>
      <w:r w:rsidR="00062E1E">
        <w:fldChar w:fldCharType="begin"/>
      </w:r>
      <w:r w:rsidR="00062E1E">
        <w:instrText xml:space="preserve"> REF _Ref67930208 \w \h </w:instrText>
      </w:r>
      <w:r w:rsidR="00062E1E">
        <w:fldChar w:fldCharType="separate"/>
      </w:r>
      <w:r w:rsidR="00062E1E">
        <w:t>[2]</w:t>
      </w:r>
      <w:r w:rsidR="00062E1E">
        <w:fldChar w:fldCharType="end"/>
      </w:r>
      <w:r w:rsidR="00233E0A">
        <w:t>, i.e., Table B.2.1-1</w:t>
      </w:r>
    </w:p>
    <w:tbl>
      <w:tblPr>
        <w:tblStyle w:val="TableGrid"/>
        <w:tblW w:w="0" w:type="auto"/>
        <w:tblLook w:val="04A0" w:firstRow="1" w:lastRow="0" w:firstColumn="1" w:lastColumn="0" w:noHBand="0" w:noVBand="1"/>
      </w:tblPr>
      <w:tblGrid>
        <w:gridCol w:w="9631"/>
      </w:tblGrid>
      <w:tr w:rsidR="00233E0A" w14:paraId="3B16A629" w14:textId="77777777" w:rsidTr="00233E0A">
        <w:tc>
          <w:tcPr>
            <w:tcW w:w="9631" w:type="dxa"/>
          </w:tcPr>
          <w:p w14:paraId="6EF157D2" w14:textId="77777777" w:rsidR="00233E0A" w:rsidRPr="009B6006" w:rsidRDefault="00233E0A" w:rsidP="00233E0A">
            <w:pPr>
              <w:pStyle w:val="TH"/>
            </w:pPr>
            <w:r w:rsidRPr="002A41D7">
              <w:t xml:space="preserve">Table </w:t>
            </w:r>
            <w:r w:rsidRPr="005B357C">
              <w:t>B.2.1-1</w:t>
            </w:r>
            <w:r w:rsidRPr="009B6006">
              <w:t xml:space="preserve">. </w:t>
            </w:r>
            <w:r>
              <w:t>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33E0A" w:rsidRPr="00AE57D3" w14:paraId="0C995DB0" w14:textId="77777777" w:rsidTr="000A73F4">
              <w:trPr>
                <w:trHeight w:val="283"/>
                <w:jc w:val="center"/>
              </w:trPr>
              <w:tc>
                <w:tcPr>
                  <w:tcW w:w="1555" w:type="dxa"/>
                  <w:shd w:val="clear" w:color="auto" w:fill="D9D9D9"/>
                  <w:vAlign w:val="center"/>
                </w:tcPr>
                <w:p w14:paraId="3BC306D4" w14:textId="77777777" w:rsidR="00233E0A" w:rsidRPr="009B6006" w:rsidRDefault="00233E0A" w:rsidP="00233E0A">
                  <w:pPr>
                    <w:pStyle w:val="TAH"/>
                  </w:pPr>
                  <w:r>
                    <w:t xml:space="preserve">Probe </w:t>
                  </w:r>
                  <w:r w:rsidRPr="009B6006">
                    <w:t>Number</w:t>
                  </w:r>
                </w:p>
              </w:tc>
              <w:tc>
                <w:tcPr>
                  <w:tcW w:w="1275" w:type="dxa"/>
                  <w:shd w:val="clear" w:color="auto" w:fill="D9D9D9"/>
                  <w:vAlign w:val="center"/>
                </w:tcPr>
                <w:p w14:paraId="045EF3E4" w14:textId="49BF24B4" w:rsidR="00233E0A" w:rsidRDefault="00233E0A" w:rsidP="00233E0A">
                  <w:pPr>
                    <w:pStyle w:val="TAH"/>
                  </w:pPr>
                  <w:r w:rsidRPr="002A41D7">
                    <w:t>Theta</w:t>
                  </w:r>
                </w:p>
                <w:p w14:paraId="43E9D074" w14:textId="542757C5" w:rsidR="00233E0A" w:rsidRPr="0072537F" w:rsidRDefault="00233E0A" w:rsidP="00233E0A">
                  <w:pPr>
                    <w:pStyle w:val="TAH"/>
                  </w:pPr>
                  <w:r w:rsidRPr="002A41D7">
                    <w:t>[</w:t>
                  </w:r>
                  <w:proofErr w:type="spellStart"/>
                  <w:r w:rsidRPr="002A41D7">
                    <w:t>deg</w:t>
                  </w:r>
                  <w:proofErr w:type="spellEnd"/>
                  <w:r w:rsidRPr="002A41D7">
                    <w:t>]</w:t>
                  </w:r>
                </w:p>
              </w:tc>
              <w:tc>
                <w:tcPr>
                  <w:tcW w:w="1560" w:type="dxa"/>
                  <w:shd w:val="clear" w:color="auto" w:fill="D9D9D9"/>
                  <w:vAlign w:val="center"/>
                </w:tcPr>
                <w:p w14:paraId="7BEEB905" w14:textId="44EFF40B" w:rsidR="00233E0A" w:rsidRDefault="00233E0A" w:rsidP="00233E0A">
                  <w:pPr>
                    <w:pStyle w:val="TAH"/>
                  </w:pPr>
                  <w:r w:rsidRPr="00731D89">
                    <w:t>Phi</w:t>
                  </w:r>
                </w:p>
                <w:p w14:paraId="103CEE94" w14:textId="77777777" w:rsidR="00233E0A" w:rsidRPr="00731D89" w:rsidRDefault="00233E0A" w:rsidP="00233E0A">
                  <w:pPr>
                    <w:pStyle w:val="TAH"/>
                  </w:pPr>
                  <w:r w:rsidRPr="00731D89">
                    <w:t>[</w:t>
                  </w:r>
                  <w:proofErr w:type="spellStart"/>
                  <w:r w:rsidRPr="00731D89">
                    <w:t>deg</w:t>
                  </w:r>
                  <w:proofErr w:type="spellEnd"/>
                  <w:r w:rsidRPr="00731D89">
                    <w:t>]</w:t>
                  </w:r>
                </w:p>
              </w:tc>
            </w:tr>
            <w:tr w:rsidR="00233E0A" w:rsidRPr="00AE57D3" w14:paraId="2C69B3EC"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ABEC12" w14:textId="77777777" w:rsidR="00233E0A" w:rsidRPr="00AE57D3" w:rsidRDefault="00233E0A" w:rsidP="00233E0A">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vAlign w:val="bottom"/>
                </w:tcPr>
                <w:p w14:paraId="488C6526" w14:textId="77777777" w:rsidR="00233E0A" w:rsidRPr="00AE57D3" w:rsidRDefault="00233E0A" w:rsidP="00233E0A">
                  <w:pPr>
                    <w:pStyle w:val="TAC"/>
                  </w:pPr>
                  <w:r w:rsidRPr="0062703F">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tcPr>
                <w:p w14:paraId="4D115153" w14:textId="77777777" w:rsidR="00233E0A" w:rsidRPr="00AE57D3" w:rsidRDefault="00233E0A" w:rsidP="00233E0A">
                  <w:pPr>
                    <w:pStyle w:val="TAC"/>
                  </w:pPr>
                  <w:r w:rsidRPr="0062703F">
                    <w:rPr>
                      <w:lang w:val="en-US"/>
                    </w:rPr>
                    <w:t>0.0</w:t>
                  </w:r>
                </w:p>
              </w:tc>
            </w:tr>
            <w:tr w:rsidR="00233E0A" w:rsidRPr="00AE57D3" w14:paraId="0A4067F1"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28253F" w14:textId="77777777" w:rsidR="00233E0A" w:rsidRPr="00AE57D3" w:rsidRDefault="00233E0A" w:rsidP="00233E0A">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vAlign w:val="bottom"/>
                </w:tcPr>
                <w:p w14:paraId="1529CACA" w14:textId="77777777" w:rsidR="00233E0A" w:rsidRPr="00AE57D3" w:rsidRDefault="00233E0A" w:rsidP="00233E0A">
                  <w:pPr>
                    <w:pStyle w:val="TAC"/>
                  </w:pPr>
                  <w:r w:rsidRPr="0062703F">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tcPr>
                <w:p w14:paraId="7F55663E" w14:textId="77777777" w:rsidR="00233E0A" w:rsidRPr="00AE57D3" w:rsidRDefault="00233E0A" w:rsidP="00233E0A">
                  <w:pPr>
                    <w:pStyle w:val="TAC"/>
                  </w:pPr>
                  <w:r w:rsidRPr="0062703F">
                    <w:rPr>
                      <w:lang w:val="en-US"/>
                    </w:rPr>
                    <w:t>116.7</w:t>
                  </w:r>
                </w:p>
              </w:tc>
            </w:tr>
            <w:tr w:rsidR="00233E0A" w:rsidRPr="00AE57D3" w14:paraId="0EF2FCDD"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3E02F23" w14:textId="77777777" w:rsidR="00233E0A" w:rsidRPr="00AE57D3" w:rsidRDefault="00233E0A" w:rsidP="00233E0A">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vAlign w:val="bottom"/>
                </w:tcPr>
                <w:p w14:paraId="2A7D4076" w14:textId="77777777" w:rsidR="00233E0A" w:rsidRPr="00AE57D3" w:rsidRDefault="00233E0A" w:rsidP="00233E0A">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221EB42E" w14:textId="77777777" w:rsidR="00233E0A" w:rsidRPr="00AE57D3" w:rsidRDefault="00233E0A" w:rsidP="00233E0A">
                  <w:pPr>
                    <w:pStyle w:val="TAC"/>
                  </w:pPr>
                  <w:r w:rsidRPr="0062703F">
                    <w:rPr>
                      <w:lang w:val="en-US"/>
                    </w:rPr>
                    <w:t>-104.3</w:t>
                  </w:r>
                </w:p>
              </w:tc>
            </w:tr>
            <w:tr w:rsidR="00233E0A" w:rsidRPr="00AE57D3" w14:paraId="71D31447"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DB6DF3" w14:textId="77777777" w:rsidR="00233E0A" w:rsidRPr="00AE57D3" w:rsidRDefault="00233E0A" w:rsidP="00233E0A">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vAlign w:val="bottom"/>
                </w:tcPr>
                <w:p w14:paraId="6F15B793" w14:textId="77777777" w:rsidR="00233E0A" w:rsidRPr="00AE57D3" w:rsidRDefault="00233E0A" w:rsidP="00233E0A">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2F307A5D" w14:textId="77777777" w:rsidR="00233E0A" w:rsidRPr="00AE57D3" w:rsidRDefault="00233E0A" w:rsidP="00233E0A">
                  <w:pPr>
                    <w:pStyle w:val="TAC"/>
                  </w:pPr>
                  <w:r w:rsidRPr="0062703F">
                    <w:rPr>
                      <w:lang w:val="en-US"/>
                    </w:rPr>
                    <w:t>104.3</w:t>
                  </w:r>
                </w:p>
              </w:tc>
            </w:tr>
            <w:tr w:rsidR="00233E0A" w:rsidRPr="00AE57D3" w14:paraId="3838CA29"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BDE778" w14:textId="77777777" w:rsidR="00233E0A" w:rsidRPr="00AE57D3" w:rsidRDefault="00233E0A" w:rsidP="00233E0A">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vAlign w:val="bottom"/>
                </w:tcPr>
                <w:p w14:paraId="1565D437" w14:textId="77777777" w:rsidR="00233E0A" w:rsidRPr="00AE57D3" w:rsidRDefault="00233E0A" w:rsidP="00233E0A">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7E8B11DA" w14:textId="77777777" w:rsidR="00233E0A" w:rsidRPr="00AE57D3" w:rsidRDefault="00233E0A" w:rsidP="00233E0A">
                  <w:pPr>
                    <w:pStyle w:val="TAC"/>
                  </w:pPr>
                  <w:r w:rsidRPr="0062703F">
                    <w:rPr>
                      <w:lang w:val="en-US"/>
                    </w:rPr>
                    <w:t>75.7</w:t>
                  </w:r>
                </w:p>
              </w:tc>
            </w:tr>
            <w:tr w:rsidR="00233E0A" w:rsidRPr="00AE57D3" w14:paraId="4D7A7C10"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5B06B5F" w14:textId="77777777" w:rsidR="00233E0A" w:rsidRPr="00AE57D3" w:rsidRDefault="00233E0A" w:rsidP="00233E0A">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vAlign w:val="bottom"/>
                </w:tcPr>
                <w:p w14:paraId="0C140B9C" w14:textId="77777777" w:rsidR="00233E0A" w:rsidRDefault="00233E0A" w:rsidP="00233E0A">
                  <w:pPr>
                    <w:pStyle w:val="TAC"/>
                    <w:rPr>
                      <w:color w:val="000000"/>
                    </w:rPr>
                  </w:pPr>
                  <w:r w:rsidRPr="0062703F">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tcPr>
                <w:p w14:paraId="780E08F4" w14:textId="77777777" w:rsidR="00233E0A" w:rsidRDefault="00233E0A" w:rsidP="00233E0A">
                  <w:pPr>
                    <w:pStyle w:val="TAC"/>
                    <w:rPr>
                      <w:color w:val="000000"/>
                    </w:rPr>
                  </w:pPr>
                  <w:r w:rsidRPr="0062703F">
                    <w:rPr>
                      <w:lang w:val="en-US"/>
                    </w:rPr>
                    <w:t>90.0</w:t>
                  </w:r>
                </w:p>
              </w:tc>
            </w:tr>
          </w:tbl>
          <w:p w14:paraId="72C64374" w14:textId="77777777" w:rsidR="00233E0A" w:rsidRDefault="00233E0A" w:rsidP="00E03F11"/>
        </w:tc>
      </w:tr>
    </w:tbl>
    <w:p w14:paraId="1461E061" w14:textId="20E00A78" w:rsidR="00233E0A" w:rsidRDefault="00C01D24" w:rsidP="00E03F11">
      <w:r>
        <w:t xml:space="preserve">is further illustrated in </w:t>
      </w:r>
      <w:r w:rsidR="002D48FE">
        <w:fldChar w:fldCharType="begin"/>
      </w:r>
      <w:r w:rsidR="002D48FE">
        <w:instrText xml:space="preserve"> REF _Ref67905241 \h </w:instrText>
      </w:r>
      <w:r w:rsidR="002D48FE">
        <w:fldChar w:fldCharType="separate"/>
      </w:r>
      <w:r w:rsidR="004D670E">
        <w:t xml:space="preserve">Figure </w:t>
      </w:r>
      <w:r w:rsidR="004D670E">
        <w:rPr>
          <w:noProof/>
        </w:rPr>
        <w:t>1</w:t>
      </w:r>
      <w:r w:rsidR="002D48FE">
        <w:fldChar w:fldCharType="end"/>
      </w:r>
      <w:r w:rsidR="002D48FE">
        <w:t>.</w:t>
      </w:r>
    </w:p>
    <w:p w14:paraId="0804D978" w14:textId="5D13D6EE" w:rsidR="00C01D24" w:rsidRDefault="00C01D24" w:rsidP="003D44C9">
      <w:pPr>
        <w:spacing w:after="0"/>
        <w:jc w:val="center"/>
      </w:pPr>
      <w:r>
        <w:rPr>
          <w:noProof/>
        </w:rPr>
        <w:lastRenderedPageBreak/>
        <w:drawing>
          <wp:inline distT="0" distB="0" distL="0" distR="0" wp14:anchorId="7222ACAE" wp14:editId="6062DC78">
            <wp:extent cx="4114800" cy="2740306"/>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2740306"/>
                    </a:xfrm>
                    <a:prstGeom prst="rect">
                      <a:avLst/>
                    </a:prstGeom>
                    <a:noFill/>
                  </pic:spPr>
                </pic:pic>
              </a:graphicData>
            </a:graphic>
          </wp:inline>
        </w:drawing>
      </w:r>
    </w:p>
    <w:p w14:paraId="490D392B" w14:textId="5CB460F7" w:rsidR="00C01D24" w:rsidRDefault="00C01D24" w:rsidP="002D48FE">
      <w:pPr>
        <w:pStyle w:val="Caption"/>
        <w:spacing w:before="0"/>
        <w:jc w:val="center"/>
      </w:pPr>
      <w:bookmarkStart w:id="5" w:name="_Ref67905241"/>
      <w:r>
        <w:t xml:space="preserve">Figure </w:t>
      </w:r>
      <w:r>
        <w:fldChar w:fldCharType="begin"/>
      </w:r>
      <w:r>
        <w:instrText xml:space="preserve"> SEQ Figure \* ARABIC </w:instrText>
      </w:r>
      <w:r>
        <w:fldChar w:fldCharType="separate"/>
      </w:r>
      <w:r w:rsidR="004D670E">
        <w:rPr>
          <w:noProof/>
        </w:rPr>
        <w:t>1</w:t>
      </w:r>
      <w:r>
        <w:fldChar w:fldCharType="end"/>
      </w:r>
      <w:bookmarkEnd w:id="5"/>
      <w:r>
        <w:t xml:space="preserve">: </w:t>
      </w:r>
      <w:r w:rsidR="002D48FE">
        <w:t>Visualization of Probes and Probe Locations</w:t>
      </w:r>
      <w:r w:rsidR="00346308">
        <w:t xml:space="preserve"> with initial test configuration of (</w:t>
      </w:r>
      <w:r w:rsidR="00346308" w:rsidRPr="00346308">
        <w:rPr>
          <w:rFonts w:ascii="Symbol" w:hAnsi="Symbol"/>
        </w:rPr>
        <w:t>q</w:t>
      </w:r>
      <w:r w:rsidR="00346308">
        <w:t>,</w:t>
      </w:r>
      <w:r w:rsidR="00C11A79">
        <w:t xml:space="preserve"> </w:t>
      </w:r>
      <w:r w:rsidR="00346308" w:rsidRPr="00346308">
        <w:rPr>
          <w:rFonts w:ascii="Symbol" w:hAnsi="Symbol"/>
        </w:rPr>
        <w:t>f</w:t>
      </w:r>
      <w:r w:rsidR="00346308">
        <w:t>) of (0</w:t>
      </w:r>
      <w:r w:rsidR="00346308" w:rsidRPr="00346308">
        <w:rPr>
          <w:vertAlign w:val="superscript"/>
        </w:rPr>
        <w:t>o</w:t>
      </w:r>
      <w:r w:rsidR="00346308">
        <w:t>,</w:t>
      </w:r>
      <w:r w:rsidR="00C11A79">
        <w:t xml:space="preserve"> </w:t>
      </w:r>
      <w:r w:rsidR="00346308">
        <w:t>0</w:t>
      </w:r>
      <w:r w:rsidR="00346308" w:rsidRPr="00346308">
        <w:rPr>
          <w:vertAlign w:val="superscript"/>
        </w:rPr>
        <w:t>o</w:t>
      </w:r>
      <w:r w:rsidR="00346308">
        <w:t>)</w:t>
      </w:r>
      <w:r w:rsidR="00402F87">
        <w:t xml:space="preserve"> in an example FR2 test system configuration</w:t>
      </w:r>
    </w:p>
    <w:p w14:paraId="3038C4F8" w14:textId="586851F8" w:rsidR="002D48FE" w:rsidRDefault="002D48FE" w:rsidP="002D48FE">
      <w:r>
        <w:t xml:space="preserve">Clearly, </w:t>
      </w:r>
      <w:r w:rsidR="00EC71D4">
        <w:t>P</w:t>
      </w:r>
      <w:r>
        <w:t>robe</w:t>
      </w:r>
      <w:r w:rsidR="00EC71D4">
        <w:t xml:space="preserve"> </w:t>
      </w:r>
      <w:r>
        <w:t xml:space="preserve">#3 is located in the lower hemisphere with </w:t>
      </w:r>
      <w:r w:rsidRPr="002D48FE">
        <w:rPr>
          <w:i/>
          <w:iCs/>
        </w:rPr>
        <w:t>y</w:t>
      </w:r>
      <w:r w:rsidR="00C11A79">
        <w:rPr>
          <w:i/>
          <w:iCs/>
        </w:rPr>
        <w:t xml:space="preserve"> </w:t>
      </w:r>
      <w:r>
        <w:t>&lt;</w:t>
      </w:r>
      <w:r w:rsidR="00C11A79">
        <w:t xml:space="preserve"> </w:t>
      </w:r>
      <w:r>
        <w:t>0</w:t>
      </w:r>
      <w:r w:rsidR="00346308">
        <w:t xml:space="preserve"> and a concern was raised </w:t>
      </w:r>
      <w:r w:rsidR="00F85459">
        <w:t xml:space="preserve">about the blocking from this probe </w:t>
      </w:r>
      <w:r w:rsidR="00F85459">
        <w:fldChar w:fldCharType="begin"/>
      </w:r>
      <w:r w:rsidR="00F85459">
        <w:instrText xml:space="preserve"> REF _Ref67906698 \w \h </w:instrText>
      </w:r>
      <w:r w:rsidR="00F85459">
        <w:fldChar w:fldCharType="separate"/>
      </w:r>
      <w:r w:rsidR="004D670E">
        <w:t>[3]</w:t>
      </w:r>
      <w:r w:rsidR="00F85459">
        <w:fldChar w:fldCharType="end"/>
      </w:r>
      <w:r w:rsidR="00F85459">
        <w:t xml:space="preserve">. </w:t>
      </w:r>
      <w:r w:rsidR="003E33C4">
        <w:t xml:space="preserve">In the extreme case of </w:t>
      </w:r>
      <w:r w:rsidR="003E33C4" w:rsidRPr="00346308">
        <w:rPr>
          <w:rFonts w:ascii="Symbol" w:hAnsi="Symbol"/>
        </w:rPr>
        <w:t>q</w:t>
      </w:r>
      <w:r w:rsidR="003E33C4">
        <w:t xml:space="preserve"> = 180</w:t>
      </w:r>
      <w:r w:rsidR="003E33C4" w:rsidRPr="003E33C4">
        <w:rPr>
          <w:vertAlign w:val="superscript"/>
        </w:rPr>
        <w:t>o</w:t>
      </w:r>
      <w:r w:rsidR="003E33C4">
        <w:t xml:space="preserve">, </w:t>
      </w:r>
      <w:r w:rsidR="00402F87">
        <w:t xml:space="preserve">the vertical positioner mast indeed introduces significant blocking between </w:t>
      </w:r>
      <w:r w:rsidR="00EC71D4">
        <w:t>P</w:t>
      </w:r>
      <w:r w:rsidR="00402F87">
        <w:t>robe</w:t>
      </w:r>
      <w:r w:rsidR="00EC71D4">
        <w:t xml:space="preserve"> </w:t>
      </w:r>
      <w:r w:rsidR="00402F87">
        <w:t xml:space="preserve">#3 and the DUT, as illustrated </w:t>
      </w:r>
      <w:r w:rsidR="00C11A79">
        <w:t xml:space="preserve">in </w:t>
      </w:r>
      <w:r w:rsidR="00C11A79">
        <w:fldChar w:fldCharType="begin"/>
      </w:r>
      <w:r w:rsidR="00C11A79">
        <w:instrText xml:space="preserve"> REF _Ref67908015 \h </w:instrText>
      </w:r>
      <w:r w:rsidR="00C11A79">
        <w:fldChar w:fldCharType="separate"/>
      </w:r>
      <w:r w:rsidR="004D670E">
        <w:t xml:space="preserve">Figure </w:t>
      </w:r>
      <w:r w:rsidR="004D670E">
        <w:rPr>
          <w:noProof/>
        </w:rPr>
        <w:t>2</w:t>
      </w:r>
      <w:r w:rsidR="00C11A79">
        <w:fldChar w:fldCharType="end"/>
      </w:r>
      <w:r w:rsidR="00C11A79">
        <w:t xml:space="preserve">. However, </w:t>
      </w:r>
      <w:r w:rsidR="00EC71D4">
        <w:t>P</w:t>
      </w:r>
      <w:r w:rsidR="00C11A79">
        <w:t>robe</w:t>
      </w:r>
      <w:r w:rsidR="00EC71D4">
        <w:t xml:space="preserve"> </w:t>
      </w:r>
      <w:r w:rsidR="00C11A79">
        <w:t xml:space="preserve">#1, the probe along the </w:t>
      </w:r>
      <w:r w:rsidR="00C11A79" w:rsidRPr="00C11A79">
        <w:rPr>
          <w:i/>
          <w:iCs/>
        </w:rPr>
        <w:t>z</w:t>
      </w:r>
      <w:r w:rsidR="00C11A79">
        <w:t xml:space="preserve"> axis experiences the same amount of blocking if not more since </w:t>
      </w:r>
      <w:r w:rsidR="00EC71D4">
        <w:t>Pr</w:t>
      </w:r>
      <w:r w:rsidR="00C11A79">
        <w:t>obe</w:t>
      </w:r>
      <w:r w:rsidR="00EC71D4">
        <w:t xml:space="preserve"> </w:t>
      </w:r>
      <w:r w:rsidR="00C11A79">
        <w:t>#3 is slightly more offset</w:t>
      </w:r>
      <w:r w:rsidR="007B4010">
        <w:t xml:space="preserve"> from the </w:t>
      </w:r>
      <w:r w:rsidR="007B4010" w:rsidRPr="007B4010">
        <w:rPr>
          <w:i/>
          <w:iCs/>
        </w:rPr>
        <w:t>z</w:t>
      </w:r>
      <w:r w:rsidR="007B4010">
        <w:t xml:space="preserve"> axis</w:t>
      </w:r>
      <w:r w:rsidR="00C11A79">
        <w:t xml:space="preserve">. </w:t>
      </w:r>
    </w:p>
    <w:p w14:paraId="74A0CA61" w14:textId="03D4C12E" w:rsidR="00C11A79" w:rsidRDefault="00C11A79" w:rsidP="00C11A79">
      <w:pPr>
        <w:spacing w:after="0"/>
        <w:jc w:val="center"/>
      </w:pPr>
      <w:r>
        <w:rPr>
          <w:noProof/>
        </w:rPr>
        <w:drawing>
          <wp:inline distT="0" distB="0" distL="0" distR="0" wp14:anchorId="6560714D" wp14:editId="148CE0FD">
            <wp:extent cx="4572000" cy="24214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421468"/>
                    </a:xfrm>
                    <a:prstGeom prst="rect">
                      <a:avLst/>
                    </a:prstGeom>
                    <a:noFill/>
                  </pic:spPr>
                </pic:pic>
              </a:graphicData>
            </a:graphic>
          </wp:inline>
        </w:drawing>
      </w:r>
    </w:p>
    <w:p w14:paraId="2FE4E46F" w14:textId="122DA028" w:rsidR="00C11A79" w:rsidRDefault="00C11A79" w:rsidP="007B4010">
      <w:pPr>
        <w:pStyle w:val="Caption"/>
        <w:spacing w:before="0"/>
        <w:jc w:val="center"/>
      </w:pPr>
      <w:bookmarkStart w:id="6" w:name="_Ref67908015"/>
      <w:r>
        <w:t xml:space="preserve">Figure </w:t>
      </w:r>
      <w:r>
        <w:fldChar w:fldCharType="begin"/>
      </w:r>
      <w:r>
        <w:instrText xml:space="preserve"> SEQ Figure \* ARABIC </w:instrText>
      </w:r>
      <w:r>
        <w:fldChar w:fldCharType="separate"/>
      </w:r>
      <w:r w:rsidR="004D670E">
        <w:rPr>
          <w:noProof/>
        </w:rPr>
        <w:t>2</w:t>
      </w:r>
      <w:r>
        <w:fldChar w:fldCharType="end"/>
      </w:r>
      <w:bookmarkEnd w:id="6"/>
      <w:r>
        <w:t>: Visualization of Probes and Probe Locations with extreme configuration of (</w:t>
      </w:r>
      <w:r w:rsidRPr="00346308">
        <w:rPr>
          <w:rFonts w:ascii="Symbol" w:hAnsi="Symbol"/>
        </w:rPr>
        <w:t>q</w:t>
      </w:r>
      <w:r>
        <w:t xml:space="preserve">, </w:t>
      </w:r>
      <w:r w:rsidRPr="00346308">
        <w:rPr>
          <w:rFonts w:ascii="Symbol" w:hAnsi="Symbol"/>
        </w:rPr>
        <w:t>f</w:t>
      </w:r>
      <w:r>
        <w:t>) of (180</w:t>
      </w:r>
      <w:r w:rsidRPr="00346308">
        <w:rPr>
          <w:vertAlign w:val="superscript"/>
        </w:rPr>
        <w:t>o</w:t>
      </w:r>
      <w:r>
        <w:t>, 0</w:t>
      </w:r>
      <w:r w:rsidRPr="00346308">
        <w:rPr>
          <w:vertAlign w:val="superscript"/>
        </w:rPr>
        <w:t>o</w:t>
      </w:r>
      <w:r>
        <w:t>) in an example FR2 test system configuration</w:t>
      </w:r>
    </w:p>
    <w:p w14:paraId="1403A993" w14:textId="216370CC" w:rsidR="00C11A79" w:rsidRPr="00307BC9" w:rsidRDefault="007B4010" w:rsidP="007B4010">
      <w:r>
        <w:t xml:space="preserve">However, the extreme case above with </w:t>
      </w:r>
      <w:r w:rsidRPr="00346308">
        <w:rPr>
          <w:rFonts w:ascii="Symbol" w:hAnsi="Symbol"/>
        </w:rPr>
        <w:t>q</w:t>
      </w:r>
      <w:r>
        <w:t xml:space="preserve"> = 180</w:t>
      </w:r>
      <w:r w:rsidRPr="003E33C4">
        <w:rPr>
          <w:vertAlign w:val="superscript"/>
        </w:rPr>
        <w:t>o</w:t>
      </w:r>
      <w:r>
        <w:t xml:space="preserve"> is not applicable for NR FR2 MIMO OTA testing since the largest </w:t>
      </w:r>
      <w:r w:rsidRPr="00307BC9">
        <w:rPr>
          <w:rFonts w:ascii="Symbol" w:hAnsi="Symbol"/>
        </w:rPr>
        <w:t>q</w:t>
      </w:r>
      <w:r>
        <w:t xml:space="preserve"> in the test procedure is </w:t>
      </w:r>
      <w:r w:rsidR="00307BC9">
        <w:t>~162</w:t>
      </w:r>
      <w:r w:rsidR="00307BC9" w:rsidRPr="00307BC9">
        <w:rPr>
          <w:vertAlign w:val="superscript"/>
        </w:rPr>
        <w:t>o</w:t>
      </w:r>
      <w:r w:rsidR="00307BC9">
        <w:t xml:space="preserve"> per Table B.2.3-1 of </w:t>
      </w:r>
      <w:r w:rsidR="00062E1E">
        <w:fldChar w:fldCharType="begin"/>
      </w:r>
      <w:r w:rsidR="00062E1E">
        <w:instrText xml:space="preserve"> REF _Ref67930208 \w \h </w:instrText>
      </w:r>
      <w:r w:rsidR="00062E1E">
        <w:fldChar w:fldCharType="separate"/>
      </w:r>
      <w:r w:rsidR="00062E1E">
        <w:t>[2]</w:t>
      </w:r>
      <w:r w:rsidR="00062E1E">
        <w:fldChar w:fldCharType="end"/>
      </w:r>
      <w:r w:rsidR="006E5FD8">
        <w:t xml:space="preserve">. </w:t>
      </w:r>
    </w:p>
    <w:tbl>
      <w:tblPr>
        <w:tblStyle w:val="TableGrid"/>
        <w:tblW w:w="0" w:type="auto"/>
        <w:tblLook w:val="04A0" w:firstRow="1" w:lastRow="0" w:firstColumn="1" w:lastColumn="0" w:noHBand="0" w:noVBand="1"/>
      </w:tblPr>
      <w:tblGrid>
        <w:gridCol w:w="9631"/>
      </w:tblGrid>
      <w:tr w:rsidR="007B4010" w14:paraId="620A7DC6" w14:textId="77777777" w:rsidTr="007B4010">
        <w:tc>
          <w:tcPr>
            <w:tcW w:w="9631" w:type="dxa"/>
          </w:tcPr>
          <w:p w14:paraId="478802A0" w14:textId="77777777" w:rsidR="007B4010" w:rsidRPr="009B6006" w:rsidRDefault="007B4010" w:rsidP="007B4010">
            <w:pPr>
              <w:pStyle w:val="TH"/>
            </w:pPr>
            <w:r w:rsidRPr="002A41D7">
              <w:t xml:space="preserve">Table </w:t>
            </w:r>
            <w:r>
              <w:t>B</w:t>
            </w:r>
            <w:r w:rsidRPr="002A41D7">
              <w:t>.</w:t>
            </w:r>
            <w:r w:rsidRPr="0072537F">
              <w:t>2.</w:t>
            </w:r>
            <w:r w:rsidRPr="009B6006">
              <w:t>3-1. Evenly spaced FR2 test points with a constant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B4010" w:rsidRPr="00AE57D3" w14:paraId="46FE7163" w14:textId="77777777" w:rsidTr="000A73F4">
              <w:trPr>
                <w:trHeight w:val="283"/>
                <w:jc w:val="center"/>
              </w:trPr>
              <w:tc>
                <w:tcPr>
                  <w:tcW w:w="1555" w:type="dxa"/>
                  <w:shd w:val="clear" w:color="auto" w:fill="D9D9D9"/>
                  <w:vAlign w:val="center"/>
                </w:tcPr>
                <w:p w14:paraId="47D98AF7" w14:textId="77777777" w:rsidR="007B4010" w:rsidRPr="009B6006" w:rsidRDefault="007B4010" w:rsidP="007B4010">
                  <w:pPr>
                    <w:pStyle w:val="TAH"/>
                  </w:pPr>
                  <w:r w:rsidRPr="009B6006">
                    <w:t>Test Point Number</w:t>
                  </w:r>
                </w:p>
              </w:tc>
              <w:tc>
                <w:tcPr>
                  <w:tcW w:w="1275" w:type="dxa"/>
                  <w:shd w:val="clear" w:color="auto" w:fill="D9D9D9"/>
                  <w:vAlign w:val="center"/>
                </w:tcPr>
                <w:p w14:paraId="7FB51392" w14:textId="77777777" w:rsidR="007B4010" w:rsidRPr="0072537F" w:rsidRDefault="007B4010" w:rsidP="007B4010">
                  <w:pPr>
                    <w:pStyle w:val="TAH"/>
                  </w:pPr>
                  <w:r w:rsidRPr="002A41D7">
                    <w:t>Theta [</w:t>
                  </w:r>
                  <w:proofErr w:type="spellStart"/>
                  <w:r w:rsidRPr="002A41D7">
                    <w:t>deg</w:t>
                  </w:r>
                  <w:proofErr w:type="spellEnd"/>
                  <w:r w:rsidRPr="002A41D7">
                    <w:t>]</w:t>
                  </w:r>
                </w:p>
              </w:tc>
              <w:tc>
                <w:tcPr>
                  <w:tcW w:w="1560" w:type="dxa"/>
                  <w:shd w:val="clear" w:color="auto" w:fill="D9D9D9"/>
                  <w:vAlign w:val="center"/>
                </w:tcPr>
                <w:p w14:paraId="60BCD32E" w14:textId="77777777" w:rsidR="007B4010" w:rsidRPr="00731D89" w:rsidRDefault="007B4010" w:rsidP="007B4010">
                  <w:pPr>
                    <w:pStyle w:val="TAH"/>
                  </w:pPr>
                  <w:r w:rsidRPr="00731D89">
                    <w:t>Phi [</w:t>
                  </w:r>
                  <w:proofErr w:type="spellStart"/>
                  <w:r w:rsidRPr="00731D89">
                    <w:t>deg</w:t>
                  </w:r>
                  <w:proofErr w:type="spellEnd"/>
                  <w:r w:rsidRPr="00731D89">
                    <w:t>]</w:t>
                  </w:r>
                </w:p>
              </w:tc>
            </w:tr>
            <w:tr w:rsidR="007B4010" w:rsidRPr="00AE57D3" w14:paraId="3845DE43"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50CF76" w14:textId="77777777" w:rsidR="007B4010" w:rsidRPr="00AE57D3" w:rsidRDefault="007B4010" w:rsidP="007B4010">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tcPr>
                <w:p w14:paraId="7933BC4D" w14:textId="77777777" w:rsidR="007B4010" w:rsidRPr="00AE57D3" w:rsidRDefault="007B4010" w:rsidP="007B4010">
                  <w:pPr>
                    <w:pStyle w:val="TAC"/>
                  </w:pPr>
                  <w:r w:rsidRPr="00AE57D3">
                    <w:t>0.0</w:t>
                  </w:r>
                </w:p>
              </w:tc>
              <w:tc>
                <w:tcPr>
                  <w:tcW w:w="1560" w:type="dxa"/>
                  <w:tcBorders>
                    <w:top w:val="single" w:sz="4" w:space="0" w:color="auto"/>
                    <w:left w:val="single" w:sz="4" w:space="0" w:color="auto"/>
                    <w:bottom w:val="single" w:sz="4" w:space="0" w:color="auto"/>
                    <w:right w:val="single" w:sz="4" w:space="0" w:color="auto"/>
                  </w:tcBorders>
                </w:tcPr>
                <w:p w14:paraId="50CBDF64" w14:textId="77777777" w:rsidR="007B4010" w:rsidRPr="00AE57D3" w:rsidRDefault="007B4010" w:rsidP="007B4010">
                  <w:pPr>
                    <w:pStyle w:val="TAC"/>
                  </w:pPr>
                  <w:r w:rsidRPr="00AE57D3">
                    <w:t>0.0</w:t>
                  </w:r>
                </w:p>
              </w:tc>
            </w:tr>
            <w:tr w:rsidR="007B4010" w:rsidRPr="00AE57D3" w14:paraId="54894DC7"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0DB849" w14:textId="1C77446E" w:rsidR="007B4010" w:rsidRPr="00AE57D3" w:rsidRDefault="007B4010" w:rsidP="007B4010">
                  <w:pPr>
                    <w:pStyle w:val="TAC"/>
                  </w:pPr>
                  <w:r>
                    <w:t>…</w:t>
                  </w:r>
                </w:p>
              </w:tc>
              <w:tc>
                <w:tcPr>
                  <w:tcW w:w="1275" w:type="dxa"/>
                  <w:tcBorders>
                    <w:top w:val="single" w:sz="4" w:space="0" w:color="auto"/>
                    <w:left w:val="single" w:sz="4" w:space="0" w:color="auto"/>
                    <w:bottom w:val="single" w:sz="4" w:space="0" w:color="auto"/>
                    <w:right w:val="single" w:sz="4" w:space="0" w:color="auto"/>
                  </w:tcBorders>
                </w:tcPr>
                <w:p w14:paraId="6763BEAE" w14:textId="77777777" w:rsidR="007B4010" w:rsidRPr="00AE57D3" w:rsidRDefault="007B4010" w:rsidP="007B4010">
                  <w:pPr>
                    <w:pStyle w:val="TAC"/>
                  </w:pPr>
                </w:p>
              </w:tc>
              <w:tc>
                <w:tcPr>
                  <w:tcW w:w="1560" w:type="dxa"/>
                  <w:tcBorders>
                    <w:top w:val="single" w:sz="4" w:space="0" w:color="auto"/>
                    <w:left w:val="single" w:sz="4" w:space="0" w:color="auto"/>
                    <w:bottom w:val="single" w:sz="4" w:space="0" w:color="auto"/>
                    <w:right w:val="single" w:sz="4" w:space="0" w:color="auto"/>
                  </w:tcBorders>
                </w:tcPr>
                <w:p w14:paraId="78970435" w14:textId="77777777" w:rsidR="007B4010" w:rsidRPr="00AE57D3" w:rsidRDefault="007B4010" w:rsidP="007B4010">
                  <w:pPr>
                    <w:pStyle w:val="TAC"/>
                  </w:pPr>
                </w:p>
              </w:tc>
            </w:tr>
            <w:tr w:rsidR="007B4010" w:rsidRPr="00AE57D3" w14:paraId="717EA395" w14:textId="77777777" w:rsidTr="000A73F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B9B78A" w14:textId="77777777" w:rsidR="007B4010" w:rsidRPr="00AE57D3" w:rsidRDefault="007B4010" w:rsidP="007B4010">
                  <w:pPr>
                    <w:pStyle w:val="TAC"/>
                  </w:pPr>
                  <w:r w:rsidRPr="00AE57D3">
                    <w:t>36</w:t>
                  </w:r>
                </w:p>
              </w:tc>
              <w:tc>
                <w:tcPr>
                  <w:tcW w:w="1275" w:type="dxa"/>
                  <w:tcBorders>
                    <w:top w:val="single" w:sz="4" w:space="0" w:color="auto"/>
                    <w:left w:val="single" w:sz="4" w:space="0" w:color="auto"/>
                    <w:bottom w:val="single" w:sz="4" w:space="0" w:color="auto"/>
                    <w:right w:val="single" w:sz="4" w:space="0" w:color="auto"/>
                  </w:tcBorders>
                </w:tcPr>
                <w:p w14:paraId="20C306F2" w14:textId="77777777" w:rsidR="007B4010" w:rsidRPr="00AE57D3" w:rsidRDefault="007B4010" w:rsidP="007B4010">
                  <w:pPr>
                    <w:pStyle w:val="TAC"/>
                  </w:pPr>
                  <w:r w:rsidRPr="007B4010">
                    <w:rPr>
                      <w:highlight w:val="yellow"/>
                    </w:rPr>
                    <w:t>161.7</w:t>
                  </w:r>
                </w:p>
              </w:tc>
              <w:tc>
                <w:tcPr>
                  <w:tcW w:w="1560" w:type="dxa"/>
                  <w:tcBorders>
                    <w:top w:val="single" w:sz="4" w:space="0" w:color="auto"/>
                    <w:left w:val="single" w:sz="4" w:space="0" w:color="auto"/>
                    <w:bottom w:val="single" w:sz="4" w:space="0" w:color="auto"/>
                    <w:right w:val="single" w:sz="4" w:space="0" w:color="auto"/>
                  </w:tcBorders>
                </w:tcPr>
                <w:p w14:paraId="74EE3546" w14:textId="77777777" w:rsidR="007B4010" w:rsidRPr="00AE57D3" w:rsidRDefault="007B4010" w:rsidP="007B4010">
                  <w:pPr>
                    <w:pStyle w:val="TAC"/>
                  </w:pPr>
                  <w:r w:rsidRPr="00AE57D3">
                    <w:t>59.1</w:t>
                  </w:r>
                </w:p>
              </w:tc>
            </w:tr>
          </w:tbl>
          <w:p w14:paraId="589833DD" w14:textId="77777777" w:rsidR="007B4010" w:rsidRDefault="007B4010" w:rsidP="007B4010"/>
        </w:tc>
      </w:tr>
    </w:tbl>
    <w:p w14:paraId="666FDC6E" w14:textId="65451245" w:rsidR="00062E1E" w:rsidRDefault="00062E1E" w:rsidP="00062E1E">
      <w:pPr>
        <w:spacing w:after="0"/>
        <w:rPr>
          <w:noProof/>
        </w:rPr>
      </w:pPr>
      <w:r>
        <w:t xml:space="preserve">Different views of this extreme NR FR2 MIMO OTA test configuration is illustrated in </w:t>
      </w:r>
      <w:r>
        <w:fldChar w:fldCharType="begin"/>
      </w:r>
      <w:r>
        <w:instrText xml:space="preserve"> REF _Ref67909862 \h  \* MERGEFORMAT </w:instrText>
      </w:r>
      <w:r>
        <w:fldChar w:fldCharType="separate"/>
      </w:r>
      <w:r>
        <w:t xml:space="preserve">Figure </w:t>
      </w:r>
      <w:r>
        <w:rPr>
          <w:noProof/>
        </w:rPr>
        <w:t>3</w:t>
      </w:r>
      <w:r>
        <w:fldChar w:fldCharType="end"/>
      </w:r>
      <w:r>
        <w:t xml:space="preserve">. Clearly, the various views of </w:t>
      </w:r>
      <w:r>
        <w:fldChar w:fldCharType="begin"/>
      </w:r>
      <w:r>
        <w:instrText xml:space="preserve"> REF _Ref67909862 \h  \* MERGEFORMAT </w:instrText>
      </w:r>
      <w:r>
        <w:fldChar w:fldCharType="separate"/>
      </w:r>
      <w:r>
        <w:t xml:space="preserve">Figure </w:t>
      </w:r>
      <w:r>
        <w:rPr>
          <w:noProof/>
        </w:rPr>
        <w:t>3</w:t>
      </w:r>
      <w:r>
        <w:fldChar w:fldCharType="end"/>
      </w:r>
      <w:r>
        <w:t xml:space="preserve"> show that blocking from </w:t>
      </w:r>
      <w:r w:rsidR="000A73F4">
        <w:t>P</w:t>
      </w:r>
      <w:r>
        <w:t>robe</w:t>
      </w:r>
      <w:r w:rsidR="000A73F4">
        <w:t xml:space="preserve"> </w:t>
      </w:r>
      <w:r>
        <w:t xml:space="preserve">#1 is worse than from </w:t>
      </w:r>
      <w:r w:rsidR="000A73F4">
        <w:t>P</w:t>
      </w:r>
      <w:r>
        <w:t>robe</w:t>
      </w:r>
      <w:r w:rsidR="000A73F4">
        <w:t xml:space="preserve"> </w:t>
      </w:r>
      <w:r>
        <w:t>#3.</w:t>
      </w:r>
    </w:p>
    <w:p w14:paraId="34AD99A0" w14:textId="1059CC69" w:rsidR="007017C7" w:rsidRDefault="003D44C9" w:rsidP="007017C7">
      <w:pPr>
        <w:spacing w:after="0"/>
        <w:jc w:val="center"/>
      </w:pPr>
      <w:r w:rsidRPr="003D44C9">
        <w:lastRenderedPageBreak/>
        <w:drawing>
          <wp:inline distT="0" distB="0" distL="0" distR="0" wp14:anchorId="71EDC70E" wp14:editId="1D659419">
            <wp:extent cx="5486400" cy="23081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2308146"/>
                    </a:xfrm>
                    <a:prstGeom prst="rect">
                      <a:avLst/>
                    </a:prstGeom>
                    <a:noFill/>
                    <a:ln>
                      <a:noFill/>
                    </a:ln>
                  </pic:spPr>
                </pic:pic>
              </a:graphicData>
            </a:graphic>
          </wp:inline>
        </w:drawing>
      </w:r>
    </w:p>
    <w:p w14:paraId="02EB6692" w14:textId="0B267E5E" w:rsidR="007017C7" w:rsidRDefault="007017C7" w:rsidP="007017C7">
      <w:pPr>
        <w:pStyle w:val="Caption"/>
        <w:spacing w:before="0"/>
        <w:jc w:val="center"/>
      </w:pPr>
      <w:bookmarkStart w:id="7" w:name="_Ref67909862"/>
      <w:r>
        <w:t xml:space="preserve">Figure </w:t>
      </w:r>
      <w:r>
        <w:fldChar w:fldCharType="begin"/>
      </w:r>
      <w:r>
        <w:instrText xml:space="preserve"> SEQ Figure \* ARABIC </w:instrText>
      </w:r>
      <w:r>
        <w:fldChar w:fldCharType="separate"/>
      </w:r>
      <w:r w:rsidR="004D670E">
        <w:rPr>
          <w:noProof/>
        </w:rPr>
        <w:t>3</w:t>
      </w:r>
      <w:r>
        <w:fldChar w:fldCharType="end"/>
      </w:r>
      <w:bookmarkEnd w:id="7"/>
      <w:r>
        <w:t xml:space="preserve">: Visualization of Probes and Probe Locations with extreme </w:t>
      </w:r>
      <w:r w:rsidR="006E5FD8">
        <w:t xml:space="preserve">NR FR2 MIMO OTA </w:t>
      </w:r>
      <w:r>
        <w:t>test configuration of (</w:t>
      </w:r>
      <w:r w:rsidRPr="00346308">
        <w:rPr>
          <w:rFonts w:ascii="Symbol" w:hAnsi="Symbol"/>
        </w:rPr>
        <w:t>q</w:t>
      </w:r>
      <w:r>
        <w:t xml:space="preserve">, </w:t>
      </w:r>
      <w:r w:rsidRPr="00346308">
        <w:rPr>
          <w:rFonts w:ascii="Symbol" w:hAnsi="Symbol"/>
        </w:rPr>
        <w:t>f</w:t>
      </w:r>
      <w:r>
        <w:t>) of (</w:t>
      </w:r>
      <w:r w:rsidR="006E5FD8">
        <w:t>161.7</w:t>
      </w:r>
      <w:r w:rsidRPr="00346308">
        <w:rPr>
          <w:vertAlign w:val="superscript"/>
        </w:rPr>
        <w:t>o</w:t>
      </w:r>
      <w:r>
        <w:t>, 0</w:t>
      </w:r>
      <w:r w:rsidRPr="00346308">
        <w:rPr>
          <w:vertAlign w:val="superscript"/>
        </w:rPr>
        <w:t>o</w:t>
      </w:r>
      <w:r>
        <w:t>) in an example FR2 test system configuration</w:t>
      </w:r>
    </w:p>
    <w:p w14:paraId="1F5C12E3" w14:textId="585FECFB" w:rsidR="007B4010" w:rsidRDefault="00B75081" w:rsidP="00B75081">
      <w:pPr>
        <w:pStyle w:val="Caption"/>
      </w:pPr>
      <w:bookmarkStart w:id="8" w:name="_Ref67930422"/>
      <w:r>
        <w:t xml:space="preserve">Observation </w:t>
      </w:r>
      <w:r>
        <w:fldChar w:fldCharType="begin"/>
      </w:r>
      <w:r>
        <w:instrText xml:space="preserve"> SEQ Observation \* ARABIC </w:instrText>
      </w:r>
      <w:r>
        <w:fldChar w:fldCharType="separate"/>
      </w:r>
      <w:r w:rsidR="004D670E">
        <w:rPr>
          <w:noProof/>
        </w:rPr>
        <w:t>1</w:t>
      </w:r>
      <w:r>
        <w:fldChar w:fldCharType="end"/>
      </w:r>
      <w:r>
        <w:t>: Blocking from Probe</w:t>
      </w:r>
      <w:r w:rsidR="000A73F4">
        <w:t xml:space="preserve"> </w:t>
      </w:r>
      <w:r>
        <w:t>#1 is worse than from Probe</w:t>
      </w:r>
      <w:r w:rsidR="000A73F4">
        <w:t xml:space="preserve"> </w:t>
      </w:r>
      <w:r>
        <w:t>#3.</w:t>
      </w:r>
      <w:bookmarkEnd w:id="8"/>
      <w:r>
        <w:t xml:space="preserve"> </w:t>
      </w:r>
    </w:p>
    <w:p w14:paraId="4917CA1A" w14:textId="317ED981" w:rsidR="00DD4982" w:rsidRDefault="00386D7A" w:rsidP="00B67F1B">
      <w:r>
        <w:t>In RAN4#98-e, it was questioned whether the current QoQZ procedure properly captures</w:t>
      </w:r>
      <w:r w:rsidRPr="00386D7A">
        <w:t xml:space="preserve"> blocking issue</w:t>
      </w:r>
      <w:r>
        <w:t xml:space="preserve">. </w:t>
      </w:r>
      <w:r w:rsidR="00B67F1B">
        <w:t>As agreed in</w:t>
      </w:r>
      <w:r w:rsidR="007F3403">
        <w:t xml:space="preserve"> </w:t>
      </w:r>
      <w:r w:rsidR="007F3403">
        <w:fldChar w:fldCharType="begin"/>
      </w:r>
      <w:r w:rsidR="007F3403">
        <w:instrText xml:space="preserve"> REF _Ref67920103 \w \h </w:instrText>
      </w:r>
      <w:r w:rsidR="007F3403">
        <w:fldChar w:fldCharType="separate"/>
      </w:r>
      <w:r w:rsidR="004D670E">
        <w:t>[4]</w:t>
      </w:r>
      <w:r w:rsidR="007F3403">
        <w:fldChar w:fldCharType="end"/>
      </w:r>
      <w:r w:rsidR="007F3403">
        <w:t xml:space="preserve">, </w:t>
      </w:r>
      <w:r w:rsidR="00B67F1B">
        <w:t>NR FR2 MIMO OTA leverages the existing NR FR2 QoQZ procedure</w:t>
      </w:r>
      <w:r w:rsidR="002D2302">
        <w:t xml:space="preserve">, documented in </w:t>
      </w:r>
      <w:r w:rsidR="002D2302">
        <w:fldChar w:fldCharType="begin"/>
      </w:r>
      <w:r w:rsidR="002D2302">
        <w:instrText xml:space="preserve"> REF _Ref67920133 \w \h </w:instrText>
      </w:r>
      <w:r w:rsidR="002D2302">
        <w:fldChar w:fldCharType="separate"/>
      </w:r>
      <w:r w:rsidR="004D670E">
        <w:t>[5]</w:t>
      </w:r>
      <w:r w:rsidR="002D2302">
        <w:fldChar w:fldCharType="end"/>
      </w:r>
      <w:r w:rsidR="002D2302">
        <w:fldChar w:fldCharType="begin"/>
      </w:r>
      <w:r w:rsidR="002D2302">
        <w:instrText xml:space="preserve"> REF _Ref40111585 \r \h </w:instrText>
      </w:r>
      <w:r w:rsidR="002D2302">
        <w:fldChar w:fldCharType="separate"/>
      </w:r>
      <w:r w:rsidR="004D670E">
        <w:t>[6]</w:t>
      </w:r>
      <w:r w:rsidR="002D2302">
        <w:fldChar w:fldCharType="end"/>
      </w:r>
      <w:r w:rsidR="002D2302">
        <w:t>,</w:t>
      </w:r>
      <w:r w:rsidR="00B67F1B">
        <w:t xml:space="preserve"> for UE RF test systems and single AoA as well as dual-AoA, multi-probe RRM test systems</w:t>
      </w:r>
      <w:r w:rsidR="00371003">
        <w:t>.</w:t>
      </w:r>
      <w:r w:rsidR="00B67F1B">
        <w:t xml:space="preserve"> </w:t>
      </w:r>
      <w:r w:rsidR="00DD4982">
        <w:t xml:space="preserve">The </w:t>
      </w:r>
      <w:r w:rsidR="00C505AA">
        <w:t xml:space="preserve">QoQZ </w:t>
      </w:r>
      <w:r w:rsidR="00DD4982">
        <w:t xml:space="preserve">procedure and the associated MU element already capture the reflection/blocking effects of the positioner </w:t>
      </w:r>
      <w:r w:rsidR="00C505AA">
        <w:t xml:space="preserve">as stated in </w:t>
      </w:r>
      <w:r w:rsidR="00C505AA">
        <w:fldChar w:fldCharType="begin"/>
      </w:r>
      <w:r w:rsidR="00C505AA">
        <w:instrText xml:space="preserve"> REF _Ref67927983 \w \h </w:instrText>
      </w:r>
      <w:r w:rsidR="00C505AA">
        <w:fldChar w:fldCharType="separate"/>
      </w:r>
      <w:r w:rsidR="004D670E">
        <w:t>[7]</w:t>
      </w:r>
      <w:r w:rsidR="00C505AA">
        <w:fldChar w:fldCharType="end"/>
      </w:r>
      <w:r w:rsidR="00C505AA">
        <w:t>, specifically B.2.1.3.</w:t>
      </w:r>
    </w:p>
    <w:tbl>
      <w:tblPr>
        <w:tblStyle w:val="TableGrid"/>
        <w:tblW w:w="0" w:type="auto"/>
        <w:tblLook w:val="04A0" w:firstRow="1" w:lastRow="0" w:firstColumn="1" w:lastColumn="0" w:noHBand="0" w:noVBand="1"/>
      </w:tblPr>
      <w:tblGrid>
        <w:gridCol w:w="9631"/>
      </w:tblGrid>
      <w:tr w:rsidR="00DD4982" w14:paraId="74FBBEAD" w14:textId="77777777" w:rsidTr="00DD4982">
        <w:tc>
          <w:tcPr>
            <w:tcW w:w="9631" w:type="dxa"/>
          </w:tcPr>
          <w:p w14:paraId="370CC2EF" w14:textId="77777777" w:rsidR="00DD4982" w:rsidRDefault="00DD4982" w:rsidP="00DD4982">
            <w:pPr>
              <w:pStyle w:val="Default"/>
              <w:rPr>
                <w:sz w:val="28"/>
                <w:szCs w:val="28"/>
              </w:rPr>
            </w:pPr>
            <w:r>
              <w:rPr>
                <w:sz w:val="28"/>
                <w:szCs w:val="28"/>
              </w:rPr>
              <w:t xml:space="preserve">B.2.1.3 Quality of quiet zone </w:t>
            </w:r>
          </w:p>
          <w:p w14:paraId="2CD15021" w14:textId="404FA955" w:rsidR="00DD4982" w:rsidRDefault="00DD4982" w:rsidP="00DD4982">
            <w:r>
              <w:t xml:space="preserve">The </w:t>
            </w:r>
            <w:r w:rsidRPr="00DD4982">
              <w:rPr>
                <w:highlight w:val="yellow"/>
              </w:rPr>
              <w:t>quality of the quiet zone procedure characterizes the quiet zone performance of the anechoic chamber, specifically the effect of reflections within the anechoic chamber including any positioners and support structures</w:t>
            </w:r>
            <w:r>
              <w:t xml:space="preserve">. The MU term additionally includes the amplitude variations effect of offsetting the directive antenna array inside a DUT from the centre of the quiet zone as well as the directivity MU, i.e., the variation of antenna gains in the different direct line-of-sight links. </w:t>
            </w:r>
          </w:p>
        </w:tc>
      </w:tr>
    </w:tbl>
    <w:p w14:paraId="4D9A8105" w14:textId="0A5DFE57" w:rsidR="00C505AA" w:rsidRDefault="00C505AA" w:rsidP="00C505AA">
      <w:pPr>
        <w:pStyle w:val="Caption"/>
      </w:pPr>
      <w:bookmarkStart w:id="9" w:name="_Ref67930423"/>
      <w:r>
        <w:t xml:space="preserve">Observation </w:t>
      </w:r>
      <w:r>
        <w:fldChar w:fldCharType="begin"/>
      </w:r>
      <w:r>
        <w:instrText xml:space="preserve"> SEQ Observation \* ARABIC </w:instrText>
      </w:r>
      <w:r>
        <w:fldChar w:fldCharType="separate"/>
      </w:r>
      <w:r w:rsidR="004D670E">
        <w:rPr>
          <w:noProof/>
        </w:rPr>
        <w:t>2</w:t>
      </w:r>
      <w:r>
        <w:fldChar w:fldCharType="end"/>
      </w:r>
      <w:r>
        <w:t xml:space="preserve">: </w:t>
      </w:r>
      <w:r w:rsidR="00386D7A">
        <w:t>The</w:t>
      </w:r>
      <w:r>
        <w:t xml:space="preserve"> QoQZ validation procedure and MU element </w:t>
      </w:r>
      <w:r w:rsidR="00386D7A">
        <w:t>‘</w:t>
      </w:r>
      <w:r w:rsidR="00386D7A" w:rsidRPr="00386D7A">
        <w:t>Quality of quiet zone</w:t>
      </w:r>
      <w:r w:rsidR="00386D7A">
        <w:t xml:space="preserve">’ </w:t>
      </w:r>
      <w:r>
        <w:t>already captures the reflection/blocking from the positioning system.</w:t>
      </w:r>
      <w:bookmarkEnd w:id="9"/>
      <w:r>
        <w:t xml:space="preserve"> </w:t>
      </w:r>
    </w:p>
    <w:p w14:paraId="49AD03D6" w14:textId="7262E1BF" w:rsidR="00B67F1B" w:rsidRDefault="00B67F1B" w:rsidP="00B67F1B">
      <w:r>
        <w:t xml:space="preserve">For </w:t>
      </w:r>
      <w:r w:rsidR="00A7618D">
        <w:t>the</w:t>
      </w:r>
      <w:r>
        <w:t xml:space="preserve"> multi-probe </w:t>
      </w:r>
      <w:r w:rsidR="00A7618D">
        <w:t xml:space="preserve">FR2 RRM </w:t>
      </w:r>
      <w:r>
        <w:t xml:space="preserve">systems, just a single probe </w:t>
      </w:r>
      <w:r w:rsidR="002D2302">
        <w:t xml:space="preserve">is </w:t>
      </w:r>
      <w:r>
        <w:t xml:space="preserve">used for the QoQZ procedure as outlined in Clause 6.2.1.1 of </w:t>
      </w:r>
      <w:r>
        <w:fldChar w:fldCharType="begin"/>
      </w:r>
      <w:r>
        <w:instrText xml:space="preserve"> REF _Ref40111585 \r \h </w:instrText>
      </w:r>
      <w:r>
        <w:fldChar w:fldCharType="separate"/>
      </w:r>
      <w:r w:rsidR="004D670E">
        <w:t>[6]</w:t>
      </w:r>
      <w:r>
        <w:fldChar w:fldCharType="end"/>
      </w:r>
      <w:r>
        <w:t xml:space="preserve"> or Clause 7.1.3.2.4 of </w:t>
      </w:r>
      <w:r>
        <w:fldChar w:fldCharType="begin"/>
      </w:r>
      <w:r>
        <w:instrText xml:space="preserve"> REF _Ref67919990 \w \h </w:instrText>
      </w:r>
      <w:r>
        <w:fldChar w:fldCharType="separate"/>
      </w:r>
      <w:r w:rsidR="004D670E">
        <w:t>[8]</w:t>
      </w:r>
      <w:r>
        <w:fldChar w:fldCharType="end"/>
      </w:r>
    </w:p>
    <w:tbl>
      <w:tblPr>
        <w:tblStyle w:val="TableGrid"/>
        <w:tblW w:w="0" w:type="auto"/>
        <w:tblLook w:val="04A0" w:firstRow="1" w:lastRow="0" w:firstColumn="1" w:lastColumn="0" w:noHBand="0" w:noVBand="1"/>
      </w:tblPr>
      <w:tblGrid>
        <w:gridCol w:w="9631"/>
      </w:tblGrid>
      <w:tr w:rsidR="00B67F1B" w14:paraId="77CC2FA2" w14:textId="77777777" w:rsidTr="000A73F4">
        <w:tc>
          <w:tcPr>
            <w:tcW w:w="9631" w:type="dxa"/>
          </w:tcPr>
          <w:p w14:paraId="5AB31C9B" w14:textId="77777777" w:rsidR="00B67F1B" w:rsidRDefault="00B67F1B" w:rsidP="00B67F1B">
            <w:pPr>
              <w:pStyle w:val="Default"/>
              <w:rPr>
                <w:sz w:val="22"/>
                <w:szCs w:val="22"/>
              </w:rPr>
            </w:pPr>
            <w:r>
              <w:rPr>
                <w:sz w:val="22"/>
                <w:szCs w:val="22"/>
              </w:rPr>
              <w:t xml:space="preserve">7.1.3.2.4 Quality of the quiet zone </w:t>
            </w:r>
          </w:p>
          <w:p w14:paraId="245D5701" w14:textId="77777777" w:rsidR="00B67F1B" w:rsidRDefault="00B67F1B" w:rsidP="00B67F1B">
            <w:pPr>
              <w:pStyle w:val="Default"/>
              <w:rPr>
                <w:sz w:val="20"/>
                <w:szCs w:val="20"/>
              </w:rPr>
            </w:pPr>
            <w:r>
              <w:rPr>
                <w:rFonts w:ascii="Times New Roman" w:hAnsi="Times New Roman" w:cs="Times New Roman"/>
                <w:sz w:val="20"/>
                <w:szCs w:val="20"/>
              </w:rPr>
              <w:t xml:space="preserve">For RRM, the quality of the quiet zone validation defined in Annex O of TS 38.521-2 [15] needs to assess only the single-directional EIRP and EIS metrics. For measurement setups with multiple probes, the QoQZ procedure needs to be performed with all probes present </w:t>
            </w:r>
            <w:proofErr w:type="gramStart"/>
            <w:r>
              <w:rPr>
                <w:rFonts w:ascii="Times New Roman" w:hAnsi="Times New Roman" w:cs="Times New Roman"/>
                <w:sz w:val="20"/>
                <w:szCs w:val="20"/>
              </w:rPr>
              <w:t>and in the conditions</w:t>
            </w:r>
            <w:proofErr w:type="gramEnd"/>
            <w:r>
              <w:rPr>
                <w:rFonts w:ascii="Times New Roman" w:hAnsi="Times New Roman" w:cs="Times New Roman"/>
                <w:sz w:val="20"/>
                <w:szCs w:val="20"/>
              </w:rPr>
              <w:t xml:space="preserve"> used for RRM testing. </w:t>
            </w:r>
          </w:p>
          <w:p w14:paraId="2BDF7C09" w14:textId="77777777" w:rsidR="00B67F1B" w:rsidRDefault="00B67F1B" w:rsidP="00B67F1B">
            <w:pPr>
              <w:pStyle w:val="Default"/>
              <w:rPr>
                <w:sz w:val="20"/>
                <w:szCs w:val="20"/>
              </w:rPr>
            </w:pPr>
            <w:r>
              <w:rPr>
                <w:rFonts w:ascii="Times New Roman" w:hAnsi="Times New Roman" w:cs="Times New Roman"/>
                <w:sz w:val="20"/>
                <w:szCs w:val="20"/>
              </w:rPr>
              <w:t xml:space="preserve">The quality of the quiet zone for the RRM measurement setup based on DFF is described in B.2.2.3. </w:t>
            </w:r>
            <w:r w:rsidRPr="00B67F1B">
              <w:rPr>
                <w:rFonts w:ascii="Times New Roman" w:hAnsi="Times New Roman" w:cs="Times New Roman"/>
                <w:sz w:val="20"/>
                <w:szCs w:val="20"/>
                <w:highlight w:val="yellow"/>
              </w:rPr>
              <w:t>The QoQZ validation needs to be performed only with the reference probe P0.</w:t>
            </w:r>
            <w:r>
              <w:rPr>
                <w:rFonts w:ascii="Times New Roman" w:hAnsi="Times New Roman" w:cs="Times New Roman"/>
                <w:sz w:val="20"/>
                <w:szCs w:val="20"/>
              </w:rPr>
              <w:t xml:space="preserve"> </w:t>
            </w:r>
          </w:p>
          <w:p w14:paraId="37A6215D" w14:textId="77777777" w:rsidR="00B67F1B" w:rsidRDefault="00B67F1B" w:rsidP="00B67F1B">
            <w:pPr>
              <w:pStyle w:val="Default"/>
              <w:rPr>
                <w:rFonts w:ascii="Times New Roman" w:hAnsi="Times New Roman" w:cs="Times New Roman"/>
                <w:sz w:val="20"/>
                <w:szCs w:val="20"/>
              </w:rPr>
            </w:pPr>
            <w:r>
              <w:rPr>
                <w:rFonts w:ascii="Times New Roman" w:hAnsi="Times New Roman" w:cs="Times New Roman"/>
                <w:sz w:val="20"/>
                <w:szCs w:val="20"/>
              </w:rPr>
              <w:t xml:space="preserve">The quality of the quiet zone for the RRM measurement setup based on simplified DFF is described in B.2.3.3. </w:t>
            </w:r>
          </w:p>
          <w:p w14:paraId="7B5ABA2F" w14:textId="77777777" w:rsidR="00B67F1B" w:rsidRDefault="00B67F1B" w:rsidP="00B67F1B">
            <w:pPr>
              <w:pStyle w:val="Default"/>
              <w:rPr>
                <w:sz w:val="20"/>
                <w:szCs w:val="20"/>
              </w:rPr>
            </w:pPr>
            <w:r>
              <w:rPr>
                <w:rFonts w:ascii="Times New Roman" w:hAnsi="Times New Roman" w:cs="Times New Roman"/>
                <w:sz w:val="20"/>
                <w:szCs w:val="20"/>
              </w:rPr>
              <w:t xml:space="preserve">The quality of the quiet zone for the RRM measurement setup based on IFF is described in B.2.4.3. </w:t>
            </w:r>
          </w:p>
          <w:p w14:paraId="0D790BF3" w14:textId="62A58F43" w:rsidR="00B67F1B" w:rsidRDefault="00B67F1B" w:rsidP="00B67F1B">
            <w:r>
              <w:t>The quality of the quiet zone for the RRM measurement setup based on enhanced IFF is described in B.2.4.3. The QoQZ validation needs to be performed only with the reference reflector, P0, if same sized IFF reflectors are used.</w:t>
            </w:r>
          </w:p>
        </w:tc>
      </w:tr>
    </w:tbl>
    <w:p w14:paraId="0DC07073" w14:textId="1632D2DA" w:rsidR="002D2302" w:rsidRDefault="002D2302" w:rsidP="00B67F1B">
      <w:r>
        <w:t xml:space="preserve">Hence, even the 2 AoA RRM test cases which </w:t>
      </w:r>
      <w:r w:rsidR="00A7618D">
        <w:t>use</w:t>
      </w:r>
      <w:r>
        <w:t xml:space="preserve"> multiple probes simultaneously </w:t>
      </w:r>
      <w:r w:rsidR="00A7618D">
        <w:t>are</w:t>
      </w:r>
      <w:r>
        <w:t xml:space="preserve"> leveraging a QoQZ procedure that relies on a single probe. </w:t>
      </w:r>
    </w:p>
    <w:p w14:paraId="0C791621" w14:textId="5CEF53B4" w:rsidR="002D2302" w:rsidRDefault="002D2302" w:rsidP="00481D0F">
      <w:pPr>
        <w:pStyle w:val="Caption"/>
      </w:pPr>
      <w:bookmarkStart w:id="10" w:name="_Ref67930424"/>
      <w:r>
        <w:t xml:space="preserve">Observation </w:t>
      </w:r>
      <w:r>
        <w:fldChar w:fldCharType="begin"/>
      </w:r>
      <w:r>
        <w:instrText xml:space="preserve"> SEQ Observation \* ARABIC </w:instrText>
      </w:r>
      <w:r>
        <w:fldChar w:fldCharType="separate"/>
      </w:r>
      <w:r w:rsidR="004D670E">
        <w:rPr>
          <w:noProof/>
        </w:rPr>
        <w:t>3</w:t>
      </w:r>
      <w:r>
        <w:fldChar w:fldCharType="end"/>
      </w:r>
      <w:r>
        <w:t xml:space="preserve">: </w:t>
      </w:r>
      <w:r w:rsidR="00A7618D">
        <w:t xml:space="preserve">2 AoA RRM, which also leverages multiple probes simultaneously, is using the same </w:t>
      </w:r>
      <w:r>
        <w:t xml:space="preserve">QoQZ validation procedure with a single probe </w:t>
      </w:r>
      <w:r w:rsidR="00A7618D">
        <w:t>as FR2 MIMO OTA.</w:t>
      </w:r>
      <w:bookmarkEnd w:id="10"/>
      <w:r w:rsidR="00A7618D">
        <w:t xml:space="preserve"> </w:t>
      </w:r>
    </w:p>
    <w:p w14:paraId="646B0B50" w14:textId="2D3214A3" w:rsidR="003D44C9" w:rsidRDefault="003D44C9" w:rsidP="003D44C9">
      <w:r>
        <w:t xml:space="preserve">For systems that support both FR2 MIMO OTA and FR2 RRM testing, leveraging the same probe, i.e., Probe 1/P0 (along </w:t>
      </w:r>
      <w:r w:rsidRPr="003D44C9">
        <w:rPr>
          <w:i/>
          <w:iCs/>
        </w:rPr>
        <w:t>z</w:t>
      </w:r>
      <w:r>
        <w:t xml:space="preserve"> direction), optimizes the QoQZ validation procedure.</w:t>
      </w:r>
    </w:p>
    <w:p w14:paraId="64E2191C" w14:textId="6D891DF8" w:rsidR="003D44C9" w:rsidRDefault="003D44C9" w:rsidP="003D44C9">
      <w:pPr>
        <w:pStyle w:val="Caption"/>
      </w:pPr>
      <w:bookmarkStart w:id="11" w:name="_Ref68251810"/>
      <w:r>
        <w:t xml:space="preserve">Observation </w:t>
      </w:r>
      <w:r>
        <w:fldChar w:fldCharType="begin"/>
      </w:r>
      <w:r>
        <w:instrText xml:space="preserve"> SEQ Observation \* ARABIC </w:instrText>
      </w:r>
      <w:r>
        <w:fldChar w:fldCharType="separate"/>
      </w:r>
      <w:r>
        <w:rPr>
          <w:noProof/>
        </w:rPr>
        <w:t>4</w:t>
      </w:r>
      <w:r>
        <w:fldChar w:fldCharType="end"/>
      </w:r>
      <w:r>
        <w:t>: For systems that support both FR2 MIMO OTA and FR2 RRM testing, leveraging the same probe</w:t>
      </w:r>
      <w:r w:rsidR="00D075D8">
        <w:t xml:space="preserve"> </w:t>
      </w:r>
      <w:r>
        <w:t>optimizes the QoQZ validation procedure.</w:t>
      </w:r>
      <w:bookmarkEnd w:id="11"/>
      <w:r>
        <w:t xml:space="preserve"> </w:t>
      </w:r>
    </w:p>
    <w:p w14:paraId="77120012" w14:textId="77777777" w:rsidR="00D075D8" w:rsidRDefault="00D075D8">
      <w:pPr>
        <w:spacing w:after="0"/>
      </w:pPr>
      <w:r>
        <w:br w:type="page"/>
      </w:r>
    </w:p>
    <w:p w14:paraId="6F4C4931" w14:textId="595A44E6" w:rsidR="00B67F1B" w:rsidRDefault="00D604EE" w:rsidP="00B67F1B">
      <w:r>
        <w:lastRenderedPageBreak/>
        <w:t xml:space="preserve">The re-positioning concept captured in </w:t>
      </w:r>
      <w:r>
        <w:fldChar w:fldCharType="begin"/>
      </w:r>
      <w:r>
        <w:instrText xml:space="preserve"> REF _Ref67920133 \w \h </w:instrText>
      </w:r>
      <w:r>
        <w:fldChar w:fldCharType="separate"/>
      </w:r>
      <w:r w:rsidR="004D670E">
        <w:t>[5]</w:t>
      </w:r>
      <w:r>
        <w:fldChar w:fldCharType="end"/>
      </w:r>
      <w:r>
        <w:t>, specifically in N.3</w:t>
      </w:r>
    </w:p>
    <w:tbl>
      <w:tblPr>
        <w:tblStyle w:val="TableGrid"/>
        <w:tblW w:w="0" w:type="auto"/>
        <w:tblLook w:val="04A0" w:firstRow="1" w:lastRow="0" w:firstColumn="1" w:lastColumn="0" w:noHBand="0" w:noVBand="1"/>
      </w:tblPr>
      <w:tblGrid>
        <w:gridCol w:w="9631"/>
      </w:tblGrid>
      <w:tr w:rsidR="00D604EE" w14:paraId="53BA06D9" w14:textId="77777777" w:rsidTr="00D604EE">
        <w:tc>
          <w:tcPr>
            <w:tcW w:w="9631" w:type="dxa"/>
          </w:tcPr>
          <w:p w14:paraId="08839EC0" w14:textId="77777777" w:rsidR="00D604EE" w:rsidRPr="00D132BB" w:rsidRDefault="00D604EE" w:rsidP="00D604EE">
            <w:pPr>
              <w:pStyle w:val="Heading1"/>
              <w:keepNext w:val="0"/>
              <w:keepLines w:val="0"/>
            </w:pPr>
            <w:bookmarkStart w:id="12" w:name="_Toc21026927"/>
            <w:bookmarkStart w:id="13" w:name="_Toc27744225"/>
            <w:bookmarkStart w:id="14" w:name="_Toc36197396"/>
            <w:bookmarkStart w:id="15" w:name="_Toc36198088"/>
            <w:r w:rsidRPr="00D132BB">
              <w:t>N.3</w:t>
            </w:r>
            <w:r w:rsidRPr="00D132BB">
              <w:tab/>
              <w:t>DUT positioning guidelines</w:t>
            </w:r>
            <w:bookmarkEnd w:id="12"/>
            <w:bookmarkEnd w:id="13"/>
            <w:bookmarkEnd w:id="14"/>
            <w:bookmarkEnd w:id="15"/>
          </w:p>
          <w:p w14:paraId="3C6DDFE7" w14:textId="77777777" w:rsidR="00D604EE" w:rsidRPr="00D132BB" w:rsidRDefault="00D604EE" w:rsidP="00D604EE">
            <w:r w:rsidRPr="00D132BB">
              <w:t xml:space="preserve">The centre of the reference coordinate system shall be aligned with the geometric centre of the DUT </w:t>
            </w:r>
            <w:proofErr w:type="gramStart"/>
            <w:r w:rsidRPr="00D132BB">
              <w:t>in order to</w:t>
            </w:r>
            <w:proofErr w:type="gramEnd"/>
            <w:r w:rsidRPr="00D132BB">
              <w:t xml:space="preserve"> minimize the offset between antenna arrays integrated at any position of the UE and the centre of the quiet zone.</w:t>
            </w:r>
          </w:p>
          <w:p w14:paraId="5E336494" w14:textId="77777777" w:rsidR="00D604EE" w:rsidRPr="00D132BB" w:rsidRDefault="00D604EE" w:rsidP="00D604EE">
            <w:r w:rsidRPr="00D132BB">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74A65C6D" w14:textId="00C5FA7F" w:rsidR="00D604EE" w:rsidRPr="00D132BB" w:rsidRDefault="00D604EE" w:rsidP="00D604EE">
            <w:pPr>
              <w:pStyle w:val="TH"/>
              <w:keepNext w:val="0"/>
              <w:keepLines w:val="0"/>
            </w:pPr>
            <w:r>
              <w:rPr>
                <w:noProof/>
              </w:rPr>
              <w:drawing>
                <wp:inline distT="0" distB="0" distL="0" distR="0" wp14:anchorId="22A5A626" wp14:editId="4C15F0DC">
                  <wp:extent cx="4114800" cy="27165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2716530"/>
                          </a:xfrm>
                          <a:prstGeom prst="rect">
                            <a:avLst/>
                          </a:prstGeom>
                          <a:noFill/>
                          <a:ln>
                            <a:noFill/>
                          </a:ln>
                        </pic:spPr>
                      </pic:pic>
                    </a:graphicData>
                  </a:graphic>
                </wp:inline>
              </w:drawing>
            </w:r>
          </w:p>
          <w:p w14:paraId="2D34B98F" w14:textId="77777777" w:rsidR="00D604EE" w:rsidRPr="00D132BB" w:rsidRDefault="00D604EE" w:rsidP="00D604EE">
            <w:pPr>
              <w:pStyle w:val="TF"/>
              <w:keepLines w:val="0"/>
            </w:pPr>
            <w:r w:rsidRPr="00D132BB">
              <w:t>Figure N.3-1: DUT re-positioning for an example of distributed-axes system</w:t>
            </w:r>
          </w:p>
          <w:p w14:paraId="5ABF7572" w14:textId="77777777" w:rsidR="00D604EE" w:rsidRPr="00D132BB" w:rsidRDefault="00D604EE" w:rsidP="00D604EE"/>
          <w:p w14:paraId="7E096FBA" w14:textId="042A5309" w:rsidR="00D604EE" w:rsidRPr="00D132BB" w:rsidRDefault="00D604EE" w:rsidP="00D604EE">
            <w:pPr>
              <w:pStyle w:val="TH"/>
              <w:keepNext w:val="0"/>
              <w:keepLines w:val="0"/>
            </w:pPr>
            <w:bookmarkStart w:id="16" w:name="_Ref521493134"/>
            <w:r>
              <w:rPr>
                <w:noProof/>
              </w:rPr>
              <w:drawing>
                <wp:inline distT="0" distB="0" distL="0" distR="0" wp14:anchorId="47E3C82F" wp14:editId="62397AB3">
                  <wp:extent cx="5486400" cy="21182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2118257"/>
                          </a:xfrm>
                          <a:prstGeom prst="rect">
                            <a:avLst/>
                          </a:prstGeom>
                          <a:noFill/>
                          <a:ln>
                            <a:noFill/>
                          </a:ln>
                        </pic:spPr>
                      </pic:pic>
                    </a:graphicData>
                  </a:graphic>
                </wp:inline>
              </w:drawing>
            </w:r>
          </w:p>
          <w:bookmarkEnd w:id="16"/>
          <w:p w14:paraId="4B102031" w14:textId="77777777" w:rsidR="00D604EE" w:rsidRPr="00D132BB" w:rsidRDefault="00D604EE" w:rsidP="00D604EE">
            <w:pPr>
              <w:pStyle w:val="TF"/>
              <w:keepLines w:val="0"/>
            </w:pPr>
            <w:r w:rsidRPr="00D132BB">
              <w:t>Figure N.3-2: DUT re-positioning for an example of combined-axes system</w:t>
            </w:r>
          </w:p>
          <w:p w14:paraId="44AFC7C0" w14:textId="77777777" w:rsidR="00D604EE" w:rsidRPr="00D132BB" w:rsidRDefault="00D604EE" w:rsidP="00D604EE"/>
          <w:p w14:paraId="1EE86010" w14:textId="268EE353" w:rsidR="00D604EE" w:rsidRDefault="00D604EE" w:rsidP="00D604EE">
            <w:r w:rsidRPr="00D132BB">
              <w:t>For EIRP/EIS measurements, re-positioning the DUT makes sure the pedestal is not obstructing the beam path and that the pedestal is not in closer proximity to the measurement antenna/reflector than the DUT.</w:t>
            </w:r>
          </w:p>
        </w:tc>
      </w:tr>
    </w:tbl>
    <w:p w14:paraId="51299C04" w14:textId="1783598F" w:rsidR="00D7446F" w:rsidRDefault="00D604EE" w:rsidP="00B67F1B">
      <w:r>
        <w:lastRenderedPageBreak/>
        <w:t>provides an allowance for test cases and QoQZ validation procedures</w:t>
      </w:r>
      <w:r w:rsidR="00B04EAE">
        <w:t xml:space="preserve"> to minimize the blocking effects</w:t>
      </w:r>
      <w:r w:rsidR="003F25EB">
        <w:t xml:space="preserve"> between DUT and </w:t>
      </w:r>
      <w:r w:rsidR="00D7446F">
        <w:t xml:space="preserve">the </w:t>
      </w:r>
      <w:r w:rsidR="003F25EB">
        <w:t xml:space="preserve">positioner by </w:t>
      </w:r>
      <w:r w:rsidR="00D7446F">
        <w:t xml:space="preserve">adjusting the position/orientation of the device to prevent radiation to be directed towards the positioner. This re-positioning approach has been captured in the test case procedures already, e.g., step 4 of </w:t>
      </w:r>
      <w:r w:rsidR="00062E1E">
        <w:fldChar w:fldCharType="begin"/>
      </w:r>
      <w:r w:rsidR="00062E1E">
        <w:instrText xml:space="preserve"> REF _Ref67930208 \w \h </w:instrText>
      </w:r>
      <w:r w:rsidR="00062E1E">
        <w:fldChar w:fldCharType="separate"/>
      </w:r>
      <w:r w:rsidR="00062E1E">
        <w:t>[2]</w:t>
      </w:r>
      <w:r w:rsidR="00062E1E">
        <w:fldChar w:fldCharType="end"/>
      </w:r>
    </w:p>
    <w:tbl>
      <w:tblPr>
        <w:tblStyle w:val="TableGrid"/>
        <w:tblW w:w="0" w:type="auto"/>
        <w:tblLook w:val="04A0" w:firstRow="1" w:lastRow="0" w:firstColumn="1" w:lastColumn="0" w:noHBand="0" w:noVBand="1"/>
      </w:tblPr>
      <w:tblGrid>
        <w:gridCol w:w="9631"/>
      </w:tblGrid>
      <w:tr w:rsidR="00D7446F" w14:paraId="26C0D8F0" w14:textId="77777777" w:rsidTr="00D7446F">
        <w:tc>
          <w:tcPr>
            <w:tcW w:w="9631" w:type="dxa"/>
          </w:tcPr>
          <w:p w14:paraId="4F4F261C" w14:textId="77777777" w:rsidR="00D7446F" w:rsidRPr="00AE57D3" w:rsidRDefault="00D7446F" w:rsidP="00D7446F">
            <w:pPr>
              <w:rPr>
                <w:lang w:eastAsia="zh-CN"/>
              </w:rPr>
            </w:pPr>
            <w:r w:rsidRPr="00AE57D3">
              <w:rPr>
                <w:lang w:eastAsia="zh-CN"/>
              </w:rPr>
              <w:t xml:space="preserve">For throughput testing, the following steps shall be followed </w:t>
            </w:r>
            <w:proofErr w:type="gramStart"/>
            <w:r w:rsidRPr="00AE57D3">
              <w:rPr>
                <w:lang w:eastAsia="zh-CN"/>
              </w:rPr>
              <w:t>in order to</w:t>
            </w:r>
            <w:proofErr w:type="gramEnd"/>
            <w:r w:rsidRPr="00AE57D3">
              <w:rPr>
                <w:lang w:eastAsia="zh-CN"/>
              </w:rPr>
              <w:t xml:space="preserve"> evaluate </w:t>
            </w:r>
            <w:r>
              <w:rPr>
                <w:lang w:eastAsia="zh-CN"/>
              </w:rPr>
              <w:t>FR2</w:t>
            </w:r>
            <w:r w:rsidRPr="00AE57D3">
              <w:rPr>
                <w:lang w:eastAsia="zh-CN"/>
              </w:rPr>
              <w:t xml:space="preserve"> MIMO OTA performance of the DUT:</w:t>
            </w:r>
          </w:p>
          <w:p w14:paraId="2A75DF7B" w14:textId="77777777" w:rsidR="00D7446F" w:rsidRPr="009B6006" w:rsidRDefault="00D7446F" w:rsidP="00D7446F">
            <w:pPr>
              <w:pStyle w:val="B2"/>
              <w:rPr>
                <w:noProof/>
              </w:rPr>
            </w:pPr>
            <w:r w:rsidRPr="00AE57D3">
              <w:rPr>
                <w:noProof/>
              </w:rPr>
              <w:t xml:space="preserve">1. Position the DUT in the default P0 alignment option </w:t>
            </w:r>
            <w:r w:rsidRPr="009B6006">
              <w:rPr>
                <w:noProof/>
              </w:rPr>
              <w:t xml:space="preserve">(Orientation 1), as defined in </w:t>
            </w:r>
            <w:r w:rsidRPr="00076E37">
              <w:rPr>
                <w:noProof/>
              </w:rPr>
              <w:t xml:space="preserve">Annex A.3 in </w:t>
            </w:r>
            <w:r>
              <w:rPr>
                <w:noProof/>
              </w:rPr>
              <w:t xml:space="preserve">TR38.827 </w:t>
            </w:r>
            <w:r w:rsidRPr="00076E37">
              <w:rPr>
                <w:noProof/>
              </w:rPr>
              <w:t>[2</w:t>
            </w:r>
            <w:r>
              <w:rPr>
                <w:noProof/>
              </w:rPr>
              <w:t>].</w:t>
            </w:r>
          </w:p>
          <w:p w14:paraId="070B4D53" w14:textId="77777777" w:rsidR="00D7446F" w:rsidRPr="009D7529" w:rsidRDefault="00D7446F" w:rsidP="00D7446F">
            <w:pPr>
              <w:pStyle w:val="B2"/>
            </w:pPr>
            <w:r w:rsidRPr="009B6006">
              <w:rPr>
                <w:noProof/>
              </w:rPr>
              <w:t>2. 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throughput value (</w:t>
            </w:r>
            <w:r>
              <w:t>70%</w:t>
            </w:r>
            <w:r w:rsidRPr="00224151">
              <w:t xml:space="preserve">)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14:paraId="57A2223F" w14:textId="77777777" w:rsidR="00D7446F" w:rsidRPr="002A41D7" w:rsidRDefault="00D7446F" w:rsidP="00D7446F">
            <w:pPr>
              <w:pStyle w:val="B2"/>
            </w:pPr>
            <w:r w:rsidRPr="002E3FFF">
              <w:rPr>
                <w:noProof/>
              </w:rPr>
              <w:t>3. Rotate the UE to the next test point</w:t>
            </w:r>
            <w:r w:rsidRPr="00AE57D3">
              <w:rPr>
                <w:rFonts w:eastAsia="Calibri"/>
              </w:rPr>
              <w:t xml:space="preserve">. </w:t>
            </w:r>
            <w:r w:rsidRPr="00AE57D3">
              <w:t xml:space="preserve">Table </w:t>
            </w:r>
            <w:r>
              <w:t>B</w:t>
            </w:r>
            <w:r w:rsidRPr="00AE57D3">
              <w:t>.2.</w:t>
            </w:r>
            <w:r w:rsidRPr="009B6006">
              <w:t xml:space="preserve">3-1 lists 36 evenly spaced test points determined using the charged particle approach and with test point #1 centred at </w:t>
            </w:r>
            <w:r w:rsidRPr="002A41D7">
              <w:t xml:space="preserve">(0,0). </w:t>
            </w:r>
          </w:p>
          <w:p w14:paraId="0208B477" w14:textId="77777777" w:rsidR="00D7446F" w:rsidRPr="009B6006" w:rsidRDefault="00D7446F" w:rsidP="00D7446F">
            <w:pPr>
              <w:pStyle w:val="B2"/>
            </w:pPr>
            <w:r w:rsidRPr="0072537F">
              <w:t xml:space="preserve">4. </w:t>
            </w:r>
            <w:r w:rsidRPr="00D7446F">
              <w:rPr>
                <w:highlight w:val="yellow"/>
              </w:rPr>
              <w:t>Repeat the test from step 2 for each specified test point. If the re-positioning concept is applied, the device needs to be positioned in P0 Orientation 2 (either option 1 or option 2).</w:t>
            </w:r>
            <w:r w:rsidRPr="009B6006">
              <w:t xml:space="preserve">  </w:t>
            </w:r>
          </w:p>
          <w:p w14:paraId="5CF7BAA9" w14:textId="542E306A" w:rsidR="00D7446F" w:rsidRDefault="00D7446F" w:rsidP="00D7446F">
            <w:pPr>
              <w:pStyle w:val="B2"/>
              <w:rPr>
                <w:noProof/>
              </w:rPr>
            </w:pPr>
            <w:r w:rsidRPr="009B6006">
              <w:rPr>
                <w:noProof/>
              </w:rPr>
              <w:t xml:space="preserve">5. The postprocessing method and the performance metric are FFS. </w:t>
            </w:r>
          </w:p>
        </w:tc>
      </w:tr>
    </w:tbl>
    <w:p w14:paraId="405B9A49" w14:textId="63B8DD62" w:rsidR="00B67F1B" w:rsidRDefault="00A65F4C" w:rsidP="00B67F1B">
      <w:r>
        <w:t xml:space="preserve">and has been captured in Clause O.2 of </w:t>
      </w:r>
      <w:r>
        <w:fldChar w:fldCharType="begin"/>
      </w:r>
      <w:r>
        <w:instrText xml:space="preserve"> REF _Ref67920133 \w \h </w:instrText>
      </w:r>
      <w:r>
        <w:fldChar w:fldCharType="separate"/>
      </w:r>
      <w:r w:rsidR="004D670E">
        <w:t>[5]</w:t>
      </w:r>
      <w:r>
        <w:fldChar w:fldCharType="end"/>
      </w:r>
      <w:r>
        <w:t xml:space="preserve">. </w:t>
      </w:r>
      <w:r w:rsidR="002D53EB">
        <w:t xml:space="preserve">Since this approach is optional, the blocking effect between DUT and positioner can be minimized but does not necessarily have to be. </w:t>
      </w:r>
    </w:p>
    <w:p w14:paraId="3867A78C" w14:textId="73F12D85" w:rsidR="002D53EB" w:rsidRDefault="002D53EB" w:rsidP="002D53EB">
      <w:pPr>
        <w:pStyle w:val="Caption"/>
      </w:pPr>
      <w:bookmarkStart w:id="17" w:name="_Ref67930425"/>
      <w:r>
        <w:t xml:space="preserve">Observation </w:t>
      </w:r>
      <w:r>
        <w:fldChar w:fldCharType="begin"/>
      </w:r>
      <w:r>
        <w:instrText xml:space="preserve"> SEQ Observation \* ARABIC </w:instrText>
      </w:r>
      <w:r>
        <w:fldChar w:fldCharType="separate"/>
      </w:r>
      <w:r w:rsidR="004D670E">
        <w:rPr>
          <w:noProof/>
        </w:rPr>
        <w:t>4</w:t>
      </w:r>
      <w:r>
        <w:fldChar w:fldCharType="end"/>
      </w:r>
      <w:r>
        <w:t xml:space="preserve">: The re-positioning concept has been </w:t>
      </w:r>
      <w:r w:rsidR="00757173">
        <w:t>incorporate</w:t>
      </w:r>
      <w:r w:rsidR="00303EA1">
        <w:t>d</w:t>
      </w:r>
      <w:r>
        <w:t xml:space="preserve"> </w:t>
      </w:r>
      <w:r w:rsidR="00303EA1">
        <w:t>in</w:t>
      </w:r>
      <w:r>
        <w:t xml:space="preserve"> the FR2 MIMO OTA test cases and the QoQZ procedure</w:t>
      </w:r>
      <w:r w:rsidR="00757173">
        <w:t>,</w:t>
      </w:r>
      <w:r>
        <w:t xml:space="preserve"> leveraged for all FR2 test methodologies</w:t>
      </w:r>
      <w:r w:rsidR="00757173">
        <w:t>, as optional approach</w:t>
      </w:r>
      <w:r>
        <w:t>.</w:t>
      </w:r>
      <w:bookmarkEnd w:id="17"/>
    </w:p>
    <w:p w14:paraId="1B5A8AF9" w14:textId="5D3EE5D3" w:rsidR="00757173" w:rsidRDefault="00757173" w:rsidP="00757173">
      <w:r>
        <w:t xml:space="preserve">The maximum test system uncertainty (MTSU), defined in RAN5, corresponds to the maximum acceptable MU of test system used for conformance testing. So far, the MTSUs for all FR2 test cases assume the re-positioning concept is applied for the QoQZ used, i.e., the optimized QoQZ MU must be used to determine the maximum acceptable MU. It is expected that RAN5 will leverage the same approach for NR FR2 MIMO OTA. </w:t>
      </w:r>
    </w:p>
    <w:p w14:paraId="5959F138" w14:textId="3F4D803E" w:rsidR="00757173" w:rsidRDefault="00757173" w:rsidP="00757173">
      <w:pPr>
        <w:pStyle w:val="Caption"/>
      </w:pPr>
      <w:bookmarkStart w:id="18" w:name="_Ref67930426"/>
      <w:r>
        <w:t xml:space="preserve">Observation </w:t>
      </w:r>
      <w:r>
        <w:fldChar w:fldCharType="begin"/>
      </w:r>
      <w:r>
        <w:instrText xml:space="preserve"> SEQ Observation \* ARABIC </w:instrText>
      </w:r>
      <w:r>
        <w:fldChar w:fldCharType="separate"/>
      </w:r>
      <w:r w:rsidR="004D670E">
        <w:rPr>
          <w:noProof/>
        </w:rPr>
        <w:t>5</w:t>
      </w:r>
      <w:r>
        <w:fldChar w:fldCharType="end"/>
      </w:r>
      <w:r>
        <w:t>: The MTSUs for all FR2 test cases assume the re-positioning concept is applied</w:t>
      </w:r>
      <w:r w:rsidR="00DD4982">
        <w:t>, i.e., the optimized QoQZ MU must be used to determine the maximum acceptable MU.</w:t>
      </w:r>
      <w:bookmarkEnd w:id="18"/>
    </w:p>
    <w:p w14:paraId="797C7F1A" w14:textId="429EFE98" w:rsidR="00DD4982" w:rsidRDefault="00DD4982" w:rsidP="00DD4982">
      <w:r>
        <w:t xml:space="preserve">For NR FR2 MIMO OTA, it can therefore be </w:t>
      </w:r>
      <w:r w:rsidR="00A7618D">
        <w:t>concluded</w:t>
      </w:r>
      <w:r>
        <w:t xml:space="preserve"> that the re-positioning concept, already introduced for the test case procedure and the </w:t>
      </w:r>
      <w:r w:rsidR="00A7618D">
        <w:t>underlying</w:t>
      </w:r>
      <w:r>
        <w:t xml:space="preserve"> QoQZ validation procedure, minimizes the blocking</w:t>
      </w:r>
      <w:r w:rsidR="004D670E">
        <w:t xml:space="preserve"> effects</w:t>
      </w:r>
      <w:r>
        <w:t xml:space="preserve">. If this optional approach is not adopted for the test cases and QoQZ validation procedure, the MU due to blocking is already captured </w:t>
      </w:r>
      <w:r w:rsidR="004D670E">
        <w:t xml:space="preserve">and the worst case blocking from </w:t>
      </w:r>
      <w:r w:rsidR="000A73F4">
        <w:t>P</w:t>
      </w:r>
      <w:r w:rsidR="004D670E">
        <w:t xml:space="preserve">robe #1 is </w:t>
      </w:r>
      <w:proofErr w:type="gramStart"/>
      <w:r w:rsidR="004D670E">
        <w:t>taking into account</w:t>
      </w:r>
      <w:proofErr w:type="gramEnd"/>
      <w:r w:rsidR="004D670E">
        <w:t>. It is therefore proposed to</w:t>
      </w:r>
      <w:r w:rsidR="00062E1E">
        <w:t xml:space="preserve"> consider that the blocking issue has been properly captured.</w:t>
      </w:r>
    </w:p>
    <w:p w14:paraId="7C1644CB" w14:textId="386932BA" w:rsidR="00062E1E" w:rsidRPr="00062E1E" w:rsidRDefault="00062E1E" w:rsidP="00062E1E">
      <w:pPr>
        <w:pStyle w:val="Caption"/>
      </w:pPr>
      <w:bookmarkStart w:id="19" w:name="_Ref67930427"/>
      <w:r>
        <w:t xml:space="preserve">Proposal </w:t>
      </w:r>
      <w:r>
        <w:fldChar w:fldCharType="begin"/>
      </w:r>
      <w:r>
        <w:instrText xml:space="preserve"> SEQ Proposal \* ARABIC </w:instrText>
      </w:r>
      <w:r>
        <w:fldChar w:fldCharType="separate"/>
      </w:r>
      <w:r>
        <w:rPr>
          <w:noProof/>
        </w:rPr>
        <w:t>1</w:t>
      </w:r>
      <w:r>
        <w:fldChar w:fldCharType="end"/>
      </w:r>
      <w:r>
        <w:t>: Consider the blocking issue properly captured</w:t>
      </w:r>
      <w:r w:rsidR="00D075D8">
        <w:t xml:space="preserve"> for NR FR2 MIMO OTA</w:t>
      </w:r>
      <w:r>
        <w:t>.</w:t>
      </w:r>
      <w:bookmarkEnd w:id="19"/>
    </w:p>
    <w:bookmarkEnd w:id="3"/>
    <w:p w14:paraId="35952390" w14:textId="6AFE9630" w:rsidR="008B0529" w:rsidRDefault="0053435C" w:rsidP="00B67F1B">
      <w:pPr>
        <w:pStyle w:val="Heading1"/>
        <w:ind w:left="0" w:firstLine="0"/>
      </w:pPr>
      <w:r>
        <w:t>Conclusion</w:t>
      </w:r>
    </w:p>
    <w:p w14:paraId="35952391" w14:textId="77777777" w:rsidR="008B0529" w:rsidRDefault="0053435C" w:rsidP="008B0529">
      <w:r>
        <w:t>The following observations and proposals were made in this contribution</w:t>
      </w:r>
    </w:p>
    <w:p w14:paraId="7BB6B74B" w14:textId="10B4E4AE" w:rsidR="00D075D8" w:rsidRPr="00D075D8" w:rsidRDefault="00D075D8">
      <w:pPr>
        <w:spacing w:after="0"/>
        <w:rPr>
          <w:b/>
          <w:bCs/>
        </w:rPr>
      </w:pPr>
      <w:r w:rsidRPr="00D075D8">
        <w:rPr>
          <w:b/>
          <w:bCs/>
        </w:rPr>
        <w:fldChar w:fldCharType="begin"/>
      </w:r>
      <w:r w:rsidRPr="00D075D8">
        <w:rPr>
          <w:b/>
          <w:bCs/>
        </w:rPr>
        <w:instrText xml:space="preserve"> REF _Ref67930422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1</w:t>
      </w:r>
      <w:r w:rsidRPr="00D075D8">
        <w:rPr>
          <w:b/>
          <w:bCs/>
        </w:rPr>
        <w:t>: Blocking from Probe #1 is worse than from Probe #3.</w:t>
      </w:r>
      <w:r w:rsidRPr="00D075D8">
        <w:rPr>
          <w:b/>
          <w:bCs/>
        </w:rPr>
        <w:fldChar w:fldCharType="end"/>
      </w:r>
    </w:p>
    <w:p w14:paraId="1BADDE50" w14:textId="06B58F27" w:rsidR="00D075D8" w:rsidRPr="00D075D8" w:rsidRDefault="00D075D8">
      <w:pPr>
        <w:spacing w:after="0"/>
        <w:rPr>
          <w:b/>
          <w:bCs/>
        </w:rPr>
      </w:pPr>
      <w:r w:rsidRPr="00D075D8">
        <w:rPr>
          <w:b/>
          <w:bCs/>
        </w:rPr>
        <w:fldChar w:fldCharType="begin"/>
      </w:r>
      <w:r w:rsidRPr="00D075D8">
        <w:rPr>
          <w:b/>
          <w:bCs/>
        </w:rPr>
        <w:instrText xml:space="preserve"> REF _Ref67930423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2</w:t>
      </w:r>
      <w:r w:rsidRPr="00D075D8">
        <w:rPr>
          <w:b/>
          <w:bCs/>
        </w:rPr>
        <w:t>: The QoQZ validation procedure and MU element ‘Quality of quiet zone’ already captures the reflection/blocking from the positioning system.</w:t>
      </w:r>
      <w:r w:rsidRPr="00D075D8">
        <w:rPr>
          <w:b/>
          <w:bCs/>
        </w:rPr>
        <w:fldChar w:fldCharType="end"/>
      </w:r>
    </w:p>
    <w:p w14:paraId="395BFD5D" w14:textId="7E417786" w:rsidR="00D075D8" w:rsidRPr="00D075D8" w:rsidRDefault="00D075D8">
      <w:pPr>
        <w:spacing w:after="0"/>
        <w:rPr>
          <w:b/>
          <w:bCs/>
        </w:rPr>
      </w:pPr>
      <w:r w:rsidRPr="00D075D8">
        <w:rPr>
          <w:b/>
          <w:bCs/>
        </w:rPr>
        <w:fldChar w:fldCharType="begin"/>
      </w:r>
      <w:r w:rsidRPr="00D075D8">
        <w:rPr>
          <w:b/>
          <w:bCs/>
        </w:rPr>
        <w:instrText xml:space="preserve"> REF _Ref67930424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3</w:t>
      </w:r>
      <w:r w:rsidRPr="00D075D8">
        <w:rPr>
          <w:b/>
          <w:bCs/>
        </w:rPr>
        <w:t>: 2 AoA RRM, which also leverages multiple probes simultaneously, is using the same QoQZ validation procedure with a single probe as FR2 MIMO OTA.</w:t>
      </w:r>
      <w:r w:rsidRPr="00D075D8">
        <w:rPr>
          <w:b/>
          <w:bCs/>
        </w:rPr>
        <w:fldChar w:fldCharType="end"/>
      </w:r>
    </w:p>
    <w:p w14:paraId="47906BF7" w14:textId="30933DE7" w:rsidR="00D075D8" w:rsidRPr="00D075D8" w:rsidRDefault="00D075D8">
      <w:pPr>
        <w:spacing w:after="0"/>
        <w:rPr>
          <w:b/>
          <w:bCs/>
        </w:rPr>
      </w:pPr>
      <w:r w:rsidRPr="00D075D8">
        <w:rPr>
          <w:b/>
          <w:bCs/>
        </w:rPr>
        <w:fldChar w:fldCharType="begin"/>
      </w:r>
      <w:r w:rsidRPr="00D075D8">
        <w:rPr>
          <w:b/>
          <w:bCs/>
        </w:rPr>
        <w:instrText xml:space="preserve"> REF _Ref68251810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4</w:t>
      </w:r>
      <w:r w:rsidRPr="00D075D8">
        <w:rPr>
          <w:b/>
          <w:bCs/>
        </w:rPr>
        <w:t>: For systems that support both FR2 MIMO OTA and FR2 RRM testing, leveraging the same probe</w:t>
      </w:r>
      <w:r w:rsidRPr="00D075D8">
        <w:rPr>
          <w:b/>
          <w:bCs/>
        </w:rPr>
        <w:t xml:space="preserve"> </w:t>
      </w:r>
      <w:r w:rsidRPr="00D075D8">
        <w:rPr>
          <w:b/>
          <w:bCs/>
        </w:rPr>
        <w:t>optimizes the QoQZ validation procedure.</w:t>
      </w:r>
      <w:r w:rsidRPr="00D075D8">
        <w:rPr>
          <w:b/>
          <w:bCs/>
        </w:rPr>
        <w:fldChar w:fldCharType="end"/>
      </w:r>
    </w:p>
    <w:p w14:paraId="6C07581A" w14:textId="1BBA81E4" w:rsidR="00D075D8" w:rsidRPr="00D075D8" w:rsidRDefault="00D075D8">
      <w:pPr>
        <w:spacing w:after="0"/>
        <w:rPr>
          <w:b/>
          <w:bCs/>
        </w:rPr>
      </w:pPr>
      <w:r w:rsidRPr="00D075D8">
        <w:rPr>
          <w:b/>
          <w:bCs/>
        </w:rPr>
        <w:fldChar w:fldCharType="begin"/>
      </w:r>
      <w:r w:rsidRPr="00D075D8">
        <w:rPr>
          <w:b/>
          <w:bCs/>
        </w:rPr>
        <w:instrText xml:space="preserve"> REF _Ref67930425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4</w:t>
      </w:r>
      <w:r w:rsidRPr="00D075D8">
        <w:rPr>
          <w:b/>
          <w:bCs/>
        </w:rPr>
        <w:t>: The re-positioning concept has been incorporated in the FR2 MIMO OTA test cases and the QoQZ procedure, leveraged for all FR2 test methodologies, as optional approach.</w:t>
      </w:r>
      <w:r w:rsidRPr="00D075D8">
        <w:rPr>
          <w:b/>
          <w:bCs/>
        </w:rPr>
        <w:fldChar w:fldCharType="end"/>
      </w:r>
    </w:p>
    <w:p w14:paraId="320EFCDD" w14:textId="5D15B96E" w:rsidR="00D075D8" w:rsidRPr="00D075D8" w:rsidRDefault="00D075D8">
      <w:pPr>
        <w:spacing w:after="0"/>
        <w:rPr>
          <w:b/>
          <w:bCs/>
        </w:rPr>
      </w:pPr>
      <w:r w:rsidRPr="00D075D8">
        <w:rPr>
          <w:b/>
          <w:bCs/>
        </w:rPr>
        <w:fldChar w:fldCharType="begin"/>
      </w:r>
      <w:r w:rsidRPr="00D075D8">
        <w:rPr>
          <w:b/>
          <w:bCs/>
        </w:rPr>
        <w:instrText xml:space="preserve"> REF _Ref67930426 \h </w:instrText>
      </w:r>
      <w:r w:rsidRPr="00D075D8">
        <w:rPr>
          <w:b/>
          <w:bCs/>
        </w:rPr>
      </w:r>
      <w:r>
        <w:rPr>
          <w:b/>
          <w:bCs/>
        </w:rPr>
        <w:instrText xml:space="preserve"> \* MERGEFORMAT </w:instrText>
      </w:r>
      <w:r w:rsidRPr="00D075D8">
        <w:rPr>
          <w:b/>
          <w:bCs/>
        </w:rPr>
        <w:fldChar w:fldCharType="separate"/>
      </w:r>
      <w:r w:rsidRPr="00D075D8">
        <w:rPr>
          <w:b/>
          <w:bCs/>
        </w:rPr>
        <w:t xml:space="preserve">Observation </w:t>
      </w:r>
      <w:r w:rsidRPr="00D075D8">
        <w:rPr>
          <w:b/>
          <w:bCs/>
          <w:noProof/>
        </w:rPr>
        <w:t>5</w:t>
      </w:r>
      <w:r w:rsidRPr="00D075D8">
        <w:rPr>
          <w:b/>
          <w:bCs/>
        </w:rPr>
        <w:t>: The MTSUs for all FR2 test cases assume the re-positioning concept is applied, i.e., the optimized QoQZ MU must be used to determine the maximum acceptable MU.</w:t>
      </w:r>
      <w:r w:rsidRPr="00D075D8">
        <w:rPr>
          <w:b/>
          <w:bCs/>
        </w:rPr>
        <w:fldChar w:fldCharType="end"/>
      </w:r>
    </w:p>
    <w:p w14:paraId="64E3C2CB" w14:textId="2577943E" w:rsidR="00D075D8" w:rsidRPr="00D075D8" w:rsidRDefault="00D075D8">
      <w:pPr>
        <w:spacing w:after="0"/>
        <w:rPr>
          <w:b/>
          <w:bCs/>
        </w:rPr>
      </w:pPr>
      <w:r w:rsidRPr="00D075D8">
        <w:rPr>
          <w:b/>
          <w:bCs/>
        </w:rPr>
        <w:fldChar w:fldCharType="begin"/>
      </w:r>
      <w:r w:rsidRPr="00D075D8">
        <w:rPr>
          <w:b/>
          <w:bCs/>
        </w:rPr>
        <w:instrText xml:space="preserve"> REF _Ref67930427 \h </w:instrText>
      </w:r>
      <w:r w:rsidRPr="00D075D8">
        <w:rPr>
          <w:b/>
          <w:bCs/>
        </w:rPr>
      </w:r>
      <w:r>
        <w:rPr>
          <w:b/>
          <w:bCs/>
        </w:rPr>
        <w:instrText xml:space="preserve"> \* MERGEFORMAT </w:instrText>
      </w:r>
      <w:r w:rsidRPr="00D075D8">
        <w:rPr>
          <w:b/>
          <w:bCs/>
        </w:rPr>
        <w:fldChar w:fldCharType="separate"/>
      </w:r>
      <w:r w:rsidRPr="00D075D8">
        <w:rPr>
          <w:b/>
          <w:bCs/>
        </w:rPr>
        <w:t xml:space="preserve">Proposal </w:t>
      </w:r>
      <w:r w:rsidRPr="00D075D8">
        <w:rPr>
          <w:b/>
          <w:bCs/>
          <w:noProof/>
        </w:rPr>
        <w:t>1</w:t>
      </w:r>
      <w:r w:rsidRPr="00D075D8">
        <w:rPr>
          <w:b/>
          <w:bCs/>
        </w:rPr>
        <w:t>: Consider the blocking issue properly captured for NR FR2 MIMO OTA.</w:t>
      </w:r>
      <w:r w:rsidRPr="00D075D8">
        <w:rPr>
          <w:b/>
          <w:bCs/>
        </w:rPr>
        <w:fldChar w:fldCharType="end"/>
      </w:r>
    </w:p>
    <w:p w14:paraId="35952392" w14:textId="4265A1C4" w:rsidR="00DD1C07" w:rsidRDefault="00DD1C07" w:rsidP="00DD1C07">
      <w:pPr>
        <w:pStyle w:val="Heading1"/>
        <w:ind w:left="567" w:hanging="567"/>
      </w:pPr>
      <w:r>
        <w:lastRenderedPageBreak/>
        <w:t>References</w:t>
      </w:r>
    </w:p>
    <w:p w14:paraId="30B840C7" w14:textId="767D42F1" w:rsidR="004D670E" w:rsidRDefault="004D670E" w:rsidP="006C565C">
      <w:pPr>
        <w:pStyle w:val="ListParagraph"/>
        <w:numPr>
          <w:ilvl w:val="0"/>
          <w:numId w:val="5"/>
        </w:numPr>
        <w:spacing w:after="160" w:line="259" w:lineRule="auto"/>
      </w:pPr>
      <w:bookmarkStart w:id="20" w:name="_Ref67930261"/>
      <w:bookmarkStart w:id="21" w:name="_Ref67903899"/>
      <w:r w:rsidRPr="004D670E">
        <w:rPr>
          <w:lang w:val="en-GB"/>
        </w:rPr>
        <w:t>R4-2103913</w:t>
      </w:r>
      <w:r>
        <w:rPr>
          <w:lang w:val="en-GB"/>
        </w:rPr>
        <w:t xml:space="preserve">, </w:t>
      </w:r>
      <w:r w:rsidRPr="004D670E">
        <w:rPr>
          <w:lang w:val="en-GB"/>
        </w:rPr>
        <w:t>WF on NR MIMO OTA</w:t>
      </w:r>
      <w:r>
        <w:rPr>
          <w:lang w:val="en-GB"/>
        </w:rPr>
        <w:t xml:space="preserve">, </w:t>
      </w:r>
      <w:r w:rsidRPr="004D670E">
        <w:rPr>
          <w:lang w:val="en-GB"/>
        </w:rPr>
        <w:t>vivo, CAICT</w:t>
      </w:r>
      <w:r>
        <w:rPr>
          <w:lang w:val="en-GB"/>
        </w:rPr>
        <w:t xml:space="preserve">, </w:t>
      </w:r>
      <w:r w:rsidRPr="004D670E">
        <w:rPr>
          <w:lang w:val="en-GB"/>
        </w:rPr>
        <w:t>3GPP TSG-RAN WG4 Meeting #98-e</w:t>
      </w:r>
      <w:r>
        <w:rPr>
          <w:lang w:val="en-GB"/>
        </w:rPr>
        <w:t>, February 2021</w:t>
      </w:r>
      <w:bookmarkEnd w:id="20"/>
    </w:p>
    <w:p w14:paraId="01418998" w14:textId="7996FEC2" w:rsidR="006C565C" w:rsidRDefault="006C565C" w:rsidP="006C565C">
      <w:pPr>
        <w:pStyle w:val="ListParagraph"/>
        <w:numPr>
          <w:ilvl w:val="0"/>
          <w:numId w:val="5"/>
        </w:numPr>
        <w:spacing w:after="160" w:line="259" w:lineRule="auto"/>
      </w:pPr>
      <w:bookmarkStart w:id="22" w:name="_Ref67930208"/>
      <w:r>
        <w:t xml:space="preserve">TS 38.151, </w:t>
      </w:r>
      <w:r w:rsidRPr="00CA2620">
        <w:t>Multiple Input Multiple Output (MIMO) Over-the-Air (OTA) performance requirements</w:t>
      </w:r>
      <w:r>
        <w:t>, V</w:t>
      </w:r>
      <w:r w:rsidRPr="00A733BD">
        <w:t>0.</w:t>
      </w:r>
      <w:r>
        <w:t>2</w:t>
      </w:r>
      <w:r w:rsidRPr="00A733BD">
        <w:t>.0</w:t>
      </w:r>
      <w:r>
        <w:t xml:space="preserve"> (2021-02)</w:t>
      </w:r>
      <w:bookmarkEnd w:id="21"/>
      <w:bookmarkEnd w:id="22"/>
    </w:p>
    <w:p w14:paraId="60537547" w14:textId="0E66DF31" w:rsidR="009A4E46" w:rsidRPr="00B67F1B" w:rsidRDefault="00F85459" w:rsidP="00B67F1B">
      <w:pPr>
        <w:pStyle w:val="ListParagraph"/>
        <w:numPr>
          <w:ilvl w:val="0"/>
          <w:numId w:val="5"/>
        </w:numPr>
        <w:spacing w:after="160" w:line="259" w:lineRule="auto"/>
      </w:pPr>
      <w:bookmarkStart w:id="23" w:name="_Ref67906698"/>
      <w:r w:rsidRPr="00B67F1B">
        <w:t>R4-2101757, Consideration on 3D-MPAC probe locations configuration for FR2 MIMO OTA, OPPO, 3GPP TSG-RAN WG4 Meeting #98-e, February 2021</w:t>
      </w:r>
      <w:bookmarkEnd w:id="23"/>
    </w:p>
    <w:p w14:paraId="4619B20B" w14:textId="77777777" w:rsidR="007F3403" w:rsidRPr="00052390" w:rsidRDefault="007F3403" w:rsidP="007F3403">
      <w:pPr>
        <w:pStyle w:val="ListParagraph"/>
        <w:numPr>
          <w:ilvl w:val="0"/>
          <w:numId w:val="5"/>
        </w:numPr>
        <w:spacing w:after="160" w:line="259" w:lineRule="auto"/>
      </w:pPr>
      <w:bookmarkStart w:id="24" w:name="_Ref67920103"/>
      <w:bookmarkStart w:id="25" w:name="_Ref40111580"/>
      <w:r w:rsidRPr="00B67F1B">
        <w:t>R4-2006740</w:t>
      </w:r>
      <w:r>
        <w:t xml:space="preserve">, </w:t>
      </w:r>
      <w:r w:rsidRPr="00B67F1B">
        <w:t>FR2 Quality of Quiet Zone Procedure</w:t>
      </w:r>
      <w:r>
        <w:t xml:space="preserve">, Keysight Technologies, </w:t>
      </w:r>
      <w:r w:rsidRPr="00B67F1B">
        <w:t>3GPP TSG-RAN WG4 Meeting # 95-e</w:t>
      </w:r>
      <w:r>
        <w:t>, June 2020</w:t>
      </w:r>
      <w:bookmarkEnd w:id="24"/>
    </w:p>
    <w:p w14:paraId="2B5ECCF6" w14:textId="77777777" w:rsidR="00B67F1B" w:rsidRDefault="00B67F1B" w:rsidP="00B67F1B">
      <w:pPr>
        <w:pStyle w:val="ListParagraph"/>
        <w:numPr>
          <w:ilvl w:val="0"/>
          <w:numId w:val="5"/>
        </w:numPr>
        <w:spacing w:after="160" w:line="259" w:lineRule="auto"/>
      </w:pPr>
      <w:bookmarkStart w:id="26" w:name="_Ref67920133"/>
      <w:r w:rsidRPr="00FA423C">
        <w:t>TS 38.521-2, User Equipment (UE) conformance specification; Radio transmission and reception; Part 2: Range 2 Standalone, V16.30 (2020-03)</w:t>
      </w:r>
      <w:bookmarkEnd w:id="25"/>
      <w:bookmarkEnd w:id="26"/>
    </w:p>
    <w:p w14:paraId="6EE9B994" w14:textId="1BB6737E" w:rsidR="00B67F1B" w:rsidRDefault="00B67F1B" w:rsidP="00B67F1B">
      <w:pPr>
        <w:pStyle w:val="ListParagraph"/>
        <w:numPr>
          <w:ilvl w:val="0"/>
          <w:numId w:val="5"/>
        </w:numPr>
        <w:spacing w:after="160" w:line="259" w:lineRule="auto"/>
      </w:pPr>
      <w:bookmarkStart w:id="27" w:name="_Ref40111585"/>
      <w:r w:rsidRPr="00151258">
        <w:t>TR</w:t>
      </w:r>
      <w:r w:rsidR="00A858B1">
        <w:t xml:space="preserve"> </w:t>
      </w:r>
      <w:r w:rsidRPr="00151258">
        <w:t>38.810, Study on test methods, V16.</w:t>
      </w:r>
      <w:r>
        <w:t>5</w:t>
      </w:r>
      <w:r w:rsidRPr="00151258">
        <w:t>.0 (2019-</w:t>
      </w:r>
      <w:r>
        <w:t>12</w:t>
      </w:r>
      <w:r w:rsidRPr="00151258">
        <w:t>)</w:t>
      </w:r>
      <w:bookmarkEnd w:id="27"/>
    </w:p>
    <w:p w14:paraId="49015BC7" w14:textId="77777777" w:rsidR="00A8521F" w:rsidRDefault="00A8521F" w:rsidP="00A8521F">
      <w:pPr>
        <w:pStyle w:val="ListParagraph"/>
        <w:numPr>
          <w:ilvl w:val="0"/>
          <w:numId w:val="5"/>
        </w:numPr>
        <w:spacing w:after="160" w:line="259" w:lineRule="auto"/>
      </w:pPr>
      <w:bookmarkStart w:id="28" w:name="_Ref67927983"/>
      <w:r w:rsidRPr="00562A60">
        <w:t>TR 38.903, Derivation of test tolerances and measurement uncertainty for User Equipment (UE) conformance test cases, V1</w:t>
      </w:r>
      <w:r>
        <w:t>6</w:t>
      </w:r>
      <w:r w:rsidRPr="00562A60">
        <w:t>.</w:t>
      </w:r>
      <w:r>
        <w:t>6</w:t>
      </w:r>
      <w:r w:rsidRPr="00562A60">
        <w:t>.0 (20</w:t>
      </w:r>
      <w:r>
        <w:t>20</w:t>
      </w:r>
      <w:r w:rsidRPr="00562A60">
        <w:t>-</w:t>
      </w:r>
      <w:r>
        <w:t>12</w:t>
      </w:r>
      <w:r w:rsidRPr="00562A60">
        <w:t>)</w:t>
      </w:r>
      <w:bookmarkEnd w:id="28"/>
    </w:p>
    <w:p w14:paraId="11BACD26" w14:textId="77777777" w:rsidR="00B67F1B" w:rsidRDefault="00B67F1B" w:rsidP="00B67F1B">
      <w:pPr>
        <w:pStyle w:val="ListParagraph"/>
        <w:numPr>
          <w:ilvl w:val="0"/>
          <w:numId w:val="5"/>
        </w:numPr>
        <w:spacing w:after="160" w:line="259" w:lineRule="auto"/>
      </w:pPr>
      <w:bookmarkStart w:id="29" w:name="_Ref67919990"/>
      <w:r w:rsidRPr="00151258">
        <w:t>TS</w:t>
      </w:r>
      <w:r>
        <w:t xml:space="preserve"> </w:t>
      </w:r>
      <w:r w:rsidRPr="00151258">
        <w:t>38.508-1, User Equipment (UE) conformance specification; Part 1: Common test environment, V16.</w:t>
      </w:r>
      <w:r>
        <w:t>6.0</w:t>
      </w:r>
      <w:r w:rsidRPr="00151258">
        <w:t xml:space="preserve"> (20</w:t>
      </w:r>
      <w:r>
        <w:t>20</w:t>
      </w:r>
      <w:r w:rsidRPr="00151258">
        <w:t>-</w:t>
      </w:r>
      <w:r>
        <w:t>12</w:t>
      </w:r>
      <w:r w:rsidRPr="00151258">
        <w:t>)</w:t>
      </w:r>
      <w:bookmarkEnd w:id="29"/>
    </w:p>
    <w:sectPr w:rsidR="00B67F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0A73F4" w:rsidRDefault="000A73F4">
      <w:r>
        <w:separator/>
      </w:r>
    </w:p>
  </w:endnote>
  <w:endnote w:type="continuationSeparator" w:id="0">
    <w:p w14:paraId="2B745E73" w14:textId="77777777" w:rsidR="000A73F4" w:rsidRDefault="000A73F4">
      <w:r>
        <w:continuationSeparator/>
      </w:r>
    </w:p>
  </w:endnote>
  <w:endnote w:type="continuationNotice" w:id="1">
    <w:p w14:paraId="10E66845" w14:textId="77777777" w:rsidR="000A73F4" w:rsidRDefault="000A7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0A73F4" w:rsidRDefault="000A73F4">
      <w:r>
        <w:separator/>
      </w:r>
    </w:p>
  </w:footnote>
  <w:footnote w:type="continuationSeparator" w:id="0">
    <w:p w14:paraId="3D6D4D42" w14:textId="77777777" w:rsidR="000A73F4" w:rsidRDefault="000A73F4">
      <w:r>
        <w:continuationSeparator/>
      </w:r>
    </w:p>
  </w:footnote>
  <w:footnote w:type="continuationNotice" w:id="1">
    <w:p w14:paraId="3391714E" w14:textId="77777777" w:rsidR="000A73F4" w:rsidRDefault="000A7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44724B"/>
    <w:multiLevelType w:val="hybridMultilevel"/>
    <w:tmpl w:val="F4F869E2"/>
    <w:lvl w:ilvl="0" w:tplc="653AC3B8">
      <w:start w:val="1"/>
      <w:numFmt w:val="bullet"/>
      <w:lvlText w:val="•"/>
      <w:lvlJc w:val="left"/>
      <w:pPr>
        <w:tabs>
          <w:tab w:val="num" w:pos="720"/>
        </w:tabs>
        <w:ind w:left="720" w:hanging="360"/>
      </w:pPr>
      <w:rPr>
        <w:rFonts w:ascii="Arial" w:hAnsi="Arial" w:hint="default"/>
      </w:rPr>
    </w:lvl>
    <w:lvl w:ilvl="1" w:tplc="1E7E330E">
      <w:start w:val="7936"/>
      <w:numFmt w:val="bullet"/>
      <w:lvlText w:val="–"/>
      <w:lvlJc w:val="left"/>
      <w:pPr>
        <w:tabs>
          <w:tab w:val="num" w:pos="1440"/>
        </w:tabs>
        <w:ind w:left="1440" w:hanging="360"/>
      </w:pPr>
      <w:rPr>
        <w:rFonts w:ascii="Arial" w:hAnsi="Arial" w:hint="default"/>
      </w:rPr>
    </w:lvl>
    <w:lvl w:ilvl="2" w:tplc="FC1C56D2" w:tentative="1">
      <w:start w:val="1"/>
      <w:numFmt w:val="bullet"/>
      <w:lvlText w:val="•"/>
      <w:lvlJc w:val="left"/>
      <w:pPr>
        <w:tabs>
          <w:tab w:val="num" w:pos="2160"/>
        </w:tabs>
        <w:ind w:left="2160" w:hanging="360"/>
      </w:pPr>
      <w:rPr>
        <w:rFonts w:ascii="Arial" w:hAnsi="Arial" w:hint="default"/>
      </w:rPr>
    </w:lvl>
    <w:lvl w:ilvl="3" w:tplc="32901750" w:tentative="1">
      <w:start w:val="1"/>
      <w:numFmt w:val="bullet"/>
      <w:lvlText w:val="•"/>
      <w:lvlJc w:val="left"/>
      <w:pPr>
        <w:tabs>
          <w:tab w:val="num" w:pos="2880"/>
        </w:tabs>
        <w:ind w:left="2880" w:hanging="360"/>
      </w:pPr>
      <w:rPr>
        <w:rFonts w:ascii="Arial" w:hAnsi="Arial" w:hint="default"/>
      </w:rPr>
    </w:lvl>
    <w:lvl w:ilvl="4" w:tplc="D61A542C" w:tentative="1">
      <w:start w:val="1"/>
      <w:numFmt w:val="bullet"/>
      <w:lvlText w:val="•"/>
      <w:lvlJc w:val="left"/>
      <w:pPr>
        <w:tabs>
          <w:tab w:val="num" w:pos="3600"/>
        </w:tabs>
        <w:ind w:left="3600" w:hanging="360"/>
      </w:pPr>
      <w:rPr>
        <w:rFonts w:ascii="Arial" w:hAnsi="Arial" w:hint="default"/>
      </w:rPr>
    </w:lvl>
    <w:lvl w:ilvl="5" w:tplc="832464F4" w:tentative="1">
      <w:start w:val="1"/>
      <w:numFmt w:val="bullet"/>
      <w:lvlText w:val="•"/>
      <w:lvlJc w:val="left"/>
      <w:pPr>
        <w:tabs>
          <w:tab w:val="num" w:pos="4320"/>
        </w:tabs>
        <w:ind w:left="4320" w:hanging="360"/>
      </w:pPr>
      <w:rPr>
        <w:rFonts w:ascii="Arial" w:hAnsi="Arial" w:hint="default"/>
      </w:rPr>
    </w:lvl>
    <w:lvl w:ilvl="6" w:tplc="3CF6170C" w:tentative="1">
      <w:start w:val="1"/>
      <w:numFmt w:val="bullet"/>
      <w:lvlText w:val="•"/>
      <w:lvlJc w:val="left"/>
      <w:pPr>
        <w:tabs>
          <w:tab w:val="num" w:pos="5040"/>
        </w:tabs>
        <w:ind w:left="5040" w:hanging="360"/>
      </w:pPr>
      <w:rPr>
        <w:rFonts w:ascii="Arial" w:hAnsi="Arial" w:hint="default"/>
      </w:rPr>
    </w:lvl>
    <w:lvl w:ilvl="7" w:tplc="973A31FE" w:tentative="1">
      <w:start w:val="1"/>
      <w:numFmt w:val="bullet"/>
      <w:lvlText w:val="•"/>
      <w:lvlJc w:val="left"/>
      <w:pPr>
        <w:tabs>
          <w:tab w:val="num" w:pos="5760"/>
        </w:tabs>
        <w:ind w:left="5760" w:hanging="360"/>
      </w:pPr>
      <w:rPr>
        <w:rFonts w:ascii="Arial" w:hAnsi="Arial" w:hint="default"/>
      </w:rPr>
    </w:lvl>
    <w:lvl w:ilvl="8" w:tplc="66D6B1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2"/>
  </w:num>
  <w:num w:numId="17">
    <w:abstractNumId w:val="8"/>
  </w:num>
  <w:num w:numId="18">
    <w:abstractNumId w:val="24"/>
  </w:num>
  <w:num w:numId="19">
    <w:abstractNumId w:val="20"/>
  </w:num>
  <w:num w:numId="20">
    <w:abstractNumId w:val="25"/>
  </w:num>
  <w:num w:numId="21">
    <w:abstractNumId w:val="31"/>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27"/>
  </w:num>
  <w:num w:numId="40">
    <w:abstractNumId w:val="33"/>
  </w:num>
  <w:num w:numId="41">
    <w:abstractNumId w:val="19"/>
  </w:num>
  <w:num w:numId="42">
    <w:abstractNumId w:val="27"/>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2E1E"/>
    <w:rsid w:val="00064500"/>
    <w:rsid w:val="00077333"/>
    <w:rsid w:val="00082566"/>
    <w:rsid w:val="00083540"/>
    <w:rsid w:val="00084983"/>
    <w:rsid w:val="00087F53"/>
    <w:rsid w:val="00093E7E"/>
    <w:rsid w:val="00096EE4"/>
    <w:rsid w:val="000A12C7"/>
    <w:rsid w:val="000A2A86"/>
    <w:rsid w:val="000A43B4"/>
    <w:rsid w:val="000A73F4"/>
    <w:rsid w:val="000B25D3"/>
    <w:rsid w:val="000C2440"/>
    <w:rsid w:val="000C3463"/>
    <w:rsid w:val="000C640F"/>
    <w:rsid w:val="000D39C6"/>
    <w:rsid w:val="000D6B69"/>
    <w:rsid w:val="000D6CFC"/>
    <w:rsid w:val="000E083B"/>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37A3"/>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3E0A"/>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2302"/>
    <w:rsid w:val="002D44BD"/>
    <w:rsid w:val="002D48FE"/>
    <w:rsid w:val="002D53EB"/>
    <w:rsid w:val="002D69EF"/>
    <w:rsid w:val="002E465A"/>
    <w:rsid w:val="002E47F7"/>
    <w:rsid w:val="002E5F31"/>
    <w:rsid w:val="002F4093"/>
    <w:rsid w:val="002F5FAD"/>
    <w:rsid w:val="00300544"/>
    <w:rsid w:val="00303EA1"/>
    <w:rsid w:val="00306D8E"/>
    <w:rsid w:val="00307BC9"/>
    <w:rsid w:val="00307D2C"/>
    <w:rsid w:val="00313528"/>
    <w:rsid w:val="003209E5"/>
    <w:rsid w:val="00324F35"/>
    <w:rsid w:val="00326871"/>
    <w:rsid w:val="00326CFF"/>
    <w:rsid w:val="00331E19"/>
    <w:rsid w:val="00332820"/>
    <w:rsid w:val="003340C5"/>
    <w:rsid w:val="0033593B"/>
    <w:rsid w:val="003425B0"/>
    <w:rsid w:val="00342EC7"/>
    <w:rsid w:val="00344657"/>
    <w:rsid w:val="00344BCD"/>
    <w:rsid w:val="003450DD"/>
    <w:rsid w:val="00346308"/>
    <w:rsid w:val="00347574"/>
    <w:rsid w:val="00353724"/>
    <w:rsid w:val="00353E42"/>
    <w:rsid w:val="00353FAE"/>
    <w:rsid w:val="00364DC7"/>
    <w:rsid w:val="00365EF7"/>
    <w:rsid w:val="00366F9B"/>
    <w:rsid w:val="00367724"/>
    <w:rsid w:val="003679B5"/>
    <w:rsid w:val="00371003"/>
    <w:rsid w:val="00373148"/>
    <w:rsid w:val="00374836"/>
    <w:rsid w:val="00380B3C"/>
    <w:rsid w:val="00380C5B"/>
    <w:rsid w:val="00380F33"/>
    <w:rsid w:val="00381C22"/>
    <w:rsid w:val="003834B0"/>
    <w:rsid w:val="00384387"/>
    <w:rsid w:val="00386D7A"/>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44C9"/>
    <w:rsid w:val="003D5D10"/>
    <w:rsid w:val="003D7CEB"/>
    <w:rsid w:val="003E300F"/>
    <w:rsid w:val="003E33C4"/>
    <w:rsid w:val="003E39F0"/>
    <w:rsid w:val="003E3F2D"/>
    <w:rsid w:val="003E567C"/>
    <w:rsid w:val="003E6A73"/>
    <w:rsid w:val="003F0282"/>
    <w:rsid w:val="003F1AEA"/>
    <w:rsid w:val="003F1D13"/>
    <w:rsid w:val="003F25EB"/>
    <w:rsid w:val="003F6395"/>
    <w:rsid w:val="003F6FF1"/>
    <w:rsid w:val="004006F6"/>
    <w:rsid w:val="0040097C"/>
    <w:rsid w:val="0040139E"/>
    <w:rsid w:val="004026D0"/>
    <w:rsid w:val="00402F87"/>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1D0F"/>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D670E"/>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4020"/>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C565C"/>
    <w:rsid w:val="006D132D"/>
    <w:rsid w:val="006D6B1F"/>
    <w:rsid w:val="006E45D9"/>
    <w:rsid w:val="006E5FD8"/>
    <w:rsid w:val="006F0D5F"/>
    <w:rsid w:val="006F1DCF"/>
    <w:rsid w:val="006F4830"/>
    <w:rsid w:val="006F4A1A"/>
    <w:rsid w:val="006F5431"/>
    <w:rsid w:val="006F5C22"/>
    <w:rsid w:val="00700488"/>
    <w:rsid w:val="007017C7"/>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C3B"/>
    <w:rsid w:val="00752FA3"/>
    <w:rsid w:val="0075717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4010"/>
    <w:rsid w:val="007B5856"/>
    <w:rsid w:val="007B6FFB"/>
    <w:rsid w:val="007C6DD8"/>
    <w:rsid w:val="007D0054"/>
    <w:rsid w:val="007D258B"/>
    <w:rsid w:val="007D36D3"/>
    <w:rsid w:val="007D3BE3"/>
    <w:rsid w:val="007D6048"/>
    <w:rsid w:val="007E2E0D"/>
    <w:rsid w:val="007E7938"/>
    <w:rsid w:val="007F0E1E"/>
    <w:rsid w:val="007F0E21"/>
    <w:rsid w:val="007F1535"/>
    <w:rsid w:val="007F3403"/>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55F4"/>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5F4C"/>
    <w:rsid w:val="00A67306"/>
    <w:rsid w:val="00A67ACD"/>
    <w:rsid w:val="00A71503"/>
    <w:rsid w:val="00A72864"/>
    <w:rsid w:val="00A7302E"/>
    <w:rsid w:val="00A74CFE"/>
    <w:rsid w:val="00A7618D"/>
    <w:rsid w:val="00A77EC9"/>
    <w:rsid w:val="00A8094A"/>
    <w:rsid w:val="00A80BEF"/>
    <w:rsid w:val="00A81B15"/>
    <w:rsid w:val="00A82056"/>
    <w:rsid w:val="00A8521F"/>
    <w:rsid w:val="00A85286"/>
    <w:rsid w:val="00A858B1"/>
    <w:rsid w:val="00A85DBC"/>
    <w:rsid w:val="00A91132"/>
    <w:rsid w:val="00A97CB6"/>
    <w:rsid w:val="00AA28BF"/>
    <w:rsid w:val="00AA3D6A"/>
    <w:rsid w:val="00AA42AF"/>
    <w:rsid w:val="00AA66F7"/>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4EAE"/>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67F1B"/>
    <w:rsid w:val="00B7370C"/>
    <w:rsid w:val="00B73955"/>
    <w:rsid w:val="00B75081"/>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24"/>
    <w:rsid w:val="00C01D4A"/>
    <w:rsid w:val="00C050BC"/>
    <w:rsid w:val="00C050CF"/>
    <w:rsid w:val="00C06487"/>
    <w:rsid w:val="00C065DE"/>
    <w:rsid w:val="00C11A79"/>
    <w:rsid w:val="00C1494B"/>
    <w:rsid w:val="00C14DE6"/>
    <w:rsid w:val="00C15AC6"/>
    <w:rsid w:val="00C16052"/>
    <w:rsid w:val="00C1643C"/>
    <w:rsid w:val="00C209B5"/>
    <w:rsid w:val="00C26EE8"/>
    <w:rsid w:val="00C313B8"/>
    <w:rsid w:val="00C31D69"/>
    <w:rsid w:val="00C401B8"/>
    <w:rsid w:val="00C42F12"/>
    <w:rsid w:val="00C451D8"/>
    <w:rsid w:val="00C475DA"/>
    <w:rsid w:val="00C505A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5D8"/>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04EE"/>
    <w:rsid w:val="00D6215E"/>
    <w:rsid w:val="00D70DBC"/>
    <w:rsid w:val="00D7306B"/>
    <w:rsid w:val="00D73201"/>
    <w:rsid w:val="00D73647"/>
    <w:rsid w:val="00D7446F"/>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982"/>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C71D4"/>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85459"/>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9A4E46"/>
    <w:rPr>
      <w:rFonts w:eastAsia="Calibri"/>
    </w:rPr>
  </w:style>
  <w:style w:type="character" w:customStyle="1" w:styleId="B2Char">
    <w:name w:val="B2 Char"/>
    <w:link w:val="B2"/>
    <w:locked/>
    <w:rsid w:val="00D7446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45290">
      <w:bodyDiv w:val="1"/>
      <w:marLeft w:val="0"/>
      <w:marRight w:val="0"/>
      <w:marTop w:val="0"/>
      <w:marBottom w:val="0"/>
      <w:divBdr>
        <w:top w:val="none" w:sz="0" w:space="0" w:color="auto"/>
        <w:left w:val="none" w:sz="0" w:space="0" w:color="auto"/>
        <w:bottom w:val="none" w:sz="0" w:space="0" w:color="auto"/>
        <w:right w:val="none" w:sz="0" w:space="0" w:color="auto"/>
      </w:divBdr>
      <w:divsChild>
        <w:div w:id="598484436">
          <w:marLeft w:val="547"/>
          <w:marRight w:val="0"/>
          <w:marTop w:val="115"/>
          <w:marBottom w:val="0"/>
          <w:divBdr>
            <w:top w:val="none" w:sz="0" w:space="0" w:color="auto"/>
            <w:left w:val="none" w:sz="0" w:space="0" w:color="auto"/>
            <w:bottom w:val="none" w:sz="0" w:space="0" w:color="auto"/>
            <w:right w:val="none" w:sz="0" w:space="0" w:color="auto"/>
          </w:divBdr>
        </w:div>
        <w:div w:id="2004891953">
          <w:marLeft w:val="1166"/>
          <w:marRight w:val="0"/>
          <w:marTop w:val="115"/>
          <w:marBottom w:val="0"/>
          <w:divBdr>
            <w:top w:val="none" w:sz="0" w:space="0" w:color="auto"/>
            <w:left w:val="none" w:sz="0" w:space="0" w:color="auto"/>
            <w:bottom w:val="none" w:sz="0" w:space="0" w:color="auto"/>
            <w:right w:val="none" w:sz="0" w:space="0" w:color="auto"/>
          </w:divBdr>
        </w:div>
        <w:div w:id="1407340868">
          <w:marLeft w:val="1166"/>
          <w:marRight w:val="0"/>
          <w:marTop w:val="115"/>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2.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Pages>
  <Words>1880</Words>
  <Characters>10847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37</cp:revision>
  <dcterms:created xsi:type="dcterms:W3CDTF">2019-06-30T20:45:00Z</dcterms:created>
  <dcterms:modified xsi:type="dcterms:W3CDTF">2021-04-02T17:30:00Z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